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60" w:lineRule="atLeast"/>
        <w:ind w:left="0" w:right="0" w:firstLine="0"/>
        <w:jc w:val="center"/>
      </w:pPr>
      <w:r>
        <w:rPr>
          <w:rFonts w:ascii="方正小标宋简体" w:hAnsi="方正小标宋简体" w:eastAsia="方正小标宋简体" w:cs="方正小标宋简体"/>
          <w:caps w:val="0"/>
          <w:color w:val="333333"/>
          <w:spacing w:val="-17"/>
          <w:sz w:val="44"/>
          <w:szCs w:val="44"/>
          <w:bdr w:val="none" w:color="auto" w:sz="0" w:space="0"/>
          <w:shd w:val="clear" w:fill="FFFFFF"/>
        </w:rPr>
        <w:t>淄博市生态环境局</w:t>
      </w:r>
      <w:r>
        <w:rPr>
          <w:rFonts w:hint="default" w:ascii="Times New Roman" w:hAnsi="Times New Roman" w:cs="Times New Roman"/>
          <w:caps w:val="0"/>
          <w:color w:val="333333"/>
          <w:spacing w:val="-17"/>
          <w:sz w:val="44"/>
          <w:szCs w:val="44"/>
          <w:bdr w:val="none" w:color="auto" w:sz="0" w:space="0"/>
          <w:shd w:val="clear" w:fill="FFFFFF"/>
        </w:rPr>
        <w:t>2022</w:t>
      </w:r>
      <w:r>
        <w:rPr>
          <w:rFonts w:hint="eastAsia" w:ascii="方正小标宋简体" w:hAnsi="方正小标宋简体" w:eastAsia="方正小标宋简体" w:cs="方正小标宋简体"/>
          <w:caps w:val="0"/>
          <w:color w:val="333333"/>
          <w:spacing w:val="-17"/>
          <w:sz w:val="44"/>
          <w:szCs w:val="44"/>
          <w:bdr w:val="none" w:color="auto" w:sz="0" w:space="0"/>
          <w:shd w:val="clear" w:fill="FFFFFF"/>
        </w:rPr>
        <w:t>年政府信息公开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60" w:lineRule="atLeast"/>
        <w:ind w:left="0" w:right="0" w:firstLine="0"/>
        <w:jc w:val="center"/>
      </w:pPr>
      <w:bookmarkStart w:id="0" w:name="_GoBack"/>
      <w:bookmarkEnd w:id="0"/>
      <w:r>
        <w:rPr>
          <w:rFonts w:hint="eastAsia" w:ascii="方正小标宋简体" w:hAnsi="方正小标宋简体" w:eastAsia="方正小标宋简体" w:cs="方正小标宋简体"/>
          <w:caps w:val="0"/>
          <w:color w:val="333333"/>
          <w:spacing w:val="-17"/>
          <w:sz w:val="44"/>
          <w:szCs w:val="44"/>
          <w:bdr w:val="none" w:color="auto" w:sz="0" w:space="0"/>
          <w:shd w:val="clear" w:fill="FFFFFF"/>
        </w:rPr>
        <w:t>工作</w:t>
      </w:r>
      <w:r>
        <w:rPr>
          <w:rFonts w:hint="eastAsia" w:ascii="方正小标宋简体" w:hAnsi="方正小标宋简体" w:eastAsia="方正小标宋简体" w:cs="方正小标宋简体"/>
          <w:caps w:val="0"/>
          <w:color w:val="333333"/>
          <w:spacing w:val="0"/>
          <w:sz w:val="44"/>
          <w:szCs w:val="44"/>
          <w:bdr w:val="none" w:color="auto" w:sz="0" w:space="0"/>
          <w:shd w:val="clear" w:fill="FFFFFF"/>
        </w:rPr>
        <w:t>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60" w:lineRule="atLeast"/>
        <w:ind w:left="0" w:right="0" w:firstLine="0"/>
        <w:jc w:val="center"/>
      </w:pPr>
      <w:r>
        <w:rPr>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0" w:right="0" w:firstLine="640"/>
        <w:jc w:val="both"/>
      </w:pPr>
      <w:r>
        <w:rPr>
          <w:rFonts w:ascii="仿宋_GB2312" w:eastAsia="仿宋_GB2312" w:cs="仿宋_GB2312"/>
          <w:caps w:val="0"/>
          <w:spacing w:val="0"/>
          <w:sz w:val="32"/>
          <w:szCs w:val="32"/>
          <w:bdr w:val="none" w:color="auto" w:sz="0" w:space="0"/>
          <w:shd w:val="clear" w:fill="FFFFFF"/>
        </w:rPr>
        <w:t>根据《中华人民共和国政府信息公开条例》要求，我局在总结</w:t>
      </w:r>
      <w:r>
        <w:rPr>
          <w:rFonts w:hint="default" w:ascii="仿宋_GB2312" w:eastAsia="仿宋_GB2312" w:cs="仿宋_GB2312"/>
          <w:caps w:val="0"/>
          <w:spacing w:val="0"/>
          <w:sz w:val="32"/>
          <w:szCs w:val="32"/>
          <w:bdr w:val="none" w:color="auto" w:sz="0" w:space="0"/>
          <w:shd w:val="clear" w:fill="FFFFFF"/>
        </w:rPr>
        <w:t>2022年度政府信息公开工作基础上，编制了</w:t>
      </w:r>
      <w:r>
        <w:rPr>
          <w:rFonts w:hint="default" w:ascii="Times New Roman" w:hAnsi="Times New Roman" w:eastAsia="仿宋_GB2312" w:cs="Times New Roman"/>
          <w:sz w:val="32"/>
          <w:szCs w:val="32"/>
          <w:bdr w:val="none" w:color="auto" w:sz="0" w:space="0"/>
        </w:rPr>
        <w:t>2022</w:t>
      </w:r>
      <w:r>
        <w:rPr>
          <w:rFonts w:hint="default" w:ascii="仿宋_GB2312" w:hAnsi="Times New Roman" w:eastAsia="仿宋_GB2312" w:cs="仿宋_GB2312"/>
          <w:sz w:val="32"/>
          <w:szCs w:val="32"/>
          <w:bdr w:val="none" w:color="auto" w:sz="0" w:space="0"/>
        </w:rPr>
        <w:t>年政府信息公开工作年度报告。报告全文由总体情况、主动</w:t>
      </w:r>
      <w:r>
        <w:rPr>
          <w:rFonts w:hint="default" w:ascii="仿宋_GB2312" w:eastAsia="仿宋_GB2312" w:cs="仿宋_GB2312"/>
          <w:caps w:val="0"/>
          <w:spacing w:val="0"/>
          <w:sz w:val="32"/>
          <w:szCs w:val="32"/>
          <w:bdr w:val="none" w:color="auto" w:sz="0" w:space="0"/>
          <w:shd w:val="clear" w:fill="FFFFFF"/>
        </w:rPr>
        <w:t>公开政府信息情况等部分组成。本年度报告中所列数据的统计期限自</w:t>
      </w:r>
      <w:r>
        <w:rPr>
          <w:rFonts w:hint="default" w:ascii="Times New Roman" w:hAnsi="Times New Roman" w:eastAsia="仿宋_GB2312" w:cs="Times New Roman"/>
          <w:sz w:val="32"/>
          <w:szCs w:val="32"/>
          <w:bdr w:val="none" w:color="auto" w:sz="0" w:space="0"/>
        </w:rPr>
        <w:t>2022</w:t>
      </w:r>
      <w:r>
        <w:rPr>
          <w:rFonts w:hint="default" w:ascii="仿宋_GB2312" w:eastAsia="仿宋_GB2312" w:cs="仿宋_GB2312"/>
          <w:sz w:val="32"/>
          <w:szCs w:val="32"/>
          <w:bdr w:val="none" w:color="auto" w:sz="0" w:space="0"/>
        </w:rPr>
        <w:t>年</w:t>
      </w:r>
      <w:r>
        <w:rPr>
          <w:rFonts w:hint="default" w:ascii="Times New Roman" w:hAnsi="Times New Roman" w:eastAsia="仿宋_GB2312" w:cs="Times New Roman"/>
          <w:sz w:val="32"/>
          <w:szCs w:val="32"/>
          <w:bdr w:val="none" w:color="auto" w:sz="0" w:space="0"/>
        </w:rPr>
        <w:t>1</w:t>
      </w:r>
      <w:r>
        <w:rPr>
          <w:rFonts w:hint="default" w:ascii="仿宋_GB2312" w:eastAsia="仿宋_GB2312" w:cs="仿宋_GB2312"/>
          <w:sz w:val="32"/>
          <w:szCs w:val="32"/>
          <w:bdr w:val="none" w:color="auto" w:sz="0" w:space="0"/>
        </w:rPr>
        <w:t>月</w:t>
      </w:r>
      <w:r>
        <w:rPr>
          <w:rFonts w:hint="default" w:ascii="Times New Roman" w:hAnsi="Times New Roman" w:eastAsia="仿宋_GB2312" w:cs="Times New Roman"/>
          <w:sz w:val="32"/>
          <w:szCs w:val="32"/>
          <w:bdr w:val="none" w:color="auto" w:sz="0" w:space="0"/>
        </w:rPr>
        <w:t>1</w:t>
      </w:r>
      <w:r>
        <w:rPr>
          <w:rFonts w:hint="default" w:ascii="仿宋_GB2312" w:eastAsia="仿宋_GB2312" w:cs="仿宋_GB2312"/>
          <w:sz w:val="32"/>
          <w:szCs w:val="32"/>
          <w:bdr w:val="none" w:color="auto" w:sz="0" w:space="0"/>
        </w:rPr>
        <w:t>日起，至</w:t>
      </w:r>
      <w:r>
        <w:rPr>
          <w:rFonts w:hint="default" w:ascii="Times New Roman" w:hAnsi="Times New Roman" w:eastAsia="仿宋_GB2312" w:cs="Times New Roman"/>
          <w:sz w:val="32"/>
          <w:szCs w:val="32"/>
          <w:bdr w:val="none" w:color="auto" w:sz="0" w:space="0"/>
        </w:rPr>
        <w:t>2022</w:t>
      </w:r>
      <w:r>
        <w:rPr>
          <w:rFonts w:hint="default" w:ascii="仿宋_GB2312" w:eastAsia="仿宋_GB2312" w:cs="仿宋_GB2312"/>
          <w:sz w:val="32"/>
          <w:szCs w:val="32"/>
          <w:bdr w:val="none" w:color="auto" w:sz="0" w:space="0"/>
        </w:rPr>
        <w:t>年</w:t>
      </w:r>
      <w:r>
        <w:rPr>
          <w:rFonts w:hint="default" w:ascii="Times New Roman" w:hAnsi="Times New Roman" w:eastAsia="仿宋_GB2312" w:cs="Times New Roman"/>
          <w:sz w:val="32"/>
          <w:szCs w:val="32"/>
          <w:bdr w:val="none" w:color="auto" w:sz="0" w:space="0"/>
        </w:rPr>
        <w:t>12</w:t>
      </w:r>
      <w:r>
        <w:rPr>
          <w:rFonts w:hint="default" w:ascii="仿宋_GB2312" w:eastAsia="仿宋_GB2312" w:cs="仿宋_GB2312"/>
          <w:sz w:val="32"/>
          <w:szCs w:val="32"/>
          <w:bdr w:val="none" w:color="auto" w:sz="0" w:space="0"/>
        </w:rPr>
        <w:t>月</w:t>
      </w:r>
      <w:r>
        <w:rPr>
          <w:rFonts w:hint="default" w:ascii="Times New Roman" w:hAnsi="Times New Roman" w:eastAsia="仿宋_GB2312" w:cs="Times New Roman"/>
          <w:sz w:val="32"/>
          <w:szCs w:val="32"/>
          <w:bdr w:val="none" w:color="auto" w:sz="0" w:space="0"/>
        </w:rPr>
        <w:t>31</w:t>
      </w:r>
      <w:r>
        <w:rPr>
          <w:rFonts w:hint="default" w:ascii="仿宋_GB2312" w:eastAsia="仿宋_GB2312" w:cs="仿宋_GB2312"/>
          <w:caps w:val="0"/>
          <w:spacing w:val="0"/>
          <w:sz w:val="32"/>
          <w:szCs w:val="32"/>
          <w:bdr w:val="none" w:color="auto" w:sz="0" w:space="0"/>
          <w:shd w:val="clear" w:fill="FFFFFF"/>
        </w:rPr>
        <w:t>日止。本报告在淄博市生态环境局门户网站</w:t>
      </w:r>
      <w:r>
        <w:rPr>
          <w:rFonts w:hint="default" w:ascii="仿宋_GB2312" w:eastAsia="仿宋_GB2312" w:cs="仿宋_GB2312"/>
          <w:sz w:val="32"/>
          <w:szCs w:val="32"/>
          <w:bdr w:val="none" w:color="auto" w:sz="0" w:space="0"/>
        </w:rPr>
        <w:t>（</w:t>
      </w:r>
      <w:r>
        <w:rPr>
          <w:rFonts w:hint="default" w:ascii="Times New Roman" w:hAnsi="Times New Roman" w:cs="Times New Roman"/>
          <w:sz w:val="32"/>
          <w:szCs w:val="32"/>
          <w:bdr w:val="none" w:color="auto" w:sz="0" w:space="0"/>
        </w:rPr>
        <w:t>http://epb.zibo.gov.cn/</w:t>
      </w:r>
      <w:r>
        <w:rPr>
          <w:rFonts w:hint="default" w:ascii="仿宋_GB2312" w:eastAsia="仿宋_GB2312" w:cs="仿宋_GB2312"/>
          <w:sz w:val="32"/>
          <w:szCs w:val="32"/>
          <w:bdr w:val="none" w:color="auto" w:sz="0" w:space="0"/>
        </w:rPr>
        <w:t>）</w:t>
      </w:r>
      <w:r>
        <w:rPr>
          <w:rFonts w:hint="default" w:ascii="仿宋_GB2312" w:eastAsia="仿宋_GB2312" w:cs="仿宋_GB2312"/>
          <w:caps w:val="0"/>
          <w:spacing w:val="0"/>
          <w:sz w:val="32"/>
          <w:szCs w:val="32"/>
          <w:bdr w:val="none" w:color="auto" w:sz="0" w:space="0"/>
          <w:shd w:val="clear" w:fill="FFFFFF"/>
        </w:rPr>
        <w:t>公布。如对报告内容有疑问，请与淄博市生态环境局联系（地址：淄博市张店区联通路</w:t>
      </w:r>
      <w:r>
        <w:rPr>
          <w:rFonts w:hint="default" w:ascii="Times New Roman" w:hAnsi="Times New Roman" w:cs="Times New Roman"/>
          <w:sz w:val="32"/>
          <w:szCs w:val="32"/>
          <w:bdr w:val="none" w:color="auto" w:sz="0" w:space="0"/>
        </w:rPr>
        <w:t>202</w:t>
      </w:r>
      <w:r>
        <w:rPr>
          <w:rFonts w:hint="default" w:ascii="仿宋_GB2312" w:eastAsia="仿宋_GB2312" w:cs="仿宋_GB2312"/>
          <w:caps w:val="0"/>
          <w:spacing w:val="0"/>
          <w:sz w:val="32"/>
          <w:szCs w:val="32"/>
          <w:bdr w:val="none" w:color="auto" w:sz="0" w:space="0"/>
          <w:shd w:val="clear" w:fill="FFFFFF"/>
        </w:rPr>
        <w:t>号；</w:t>
      </w:r>
      <w:r>
        <w:rPr>
          <w:rFonts w:hint="default" w:ascii="仿宋_GB2312" w:eastAsia="仿宋_GB2312" w:cs="仿宋_GB2312"/>
          <w:sz w:val="32"/>
          <w:szCs w:val="32"/>
          <w:bdr w:val="none" w:color="auto" w:sz="0" w:space="0"/>
        </w:rPr>
        <w:t>邮编：</w:t>
      </w:r>
      <w:r>
        <w:rPr>
          <w:rFonts w:hint="default" w:ascii="Times New Roman" w:hAnsi="Times New Roman" w:eastAsia="仿宋_GB2312" w:cs="Times New Roman"/>
          <w:sz w:val="32"/>
          <w:szCs w:val="32"/>
          <w:bdr w:val="none" w:color="auto" w:sz="0" w:space="0"/>
        </w:rPr>
        <w:t>255000</w:t>
      </w:r>
      <w:r>
        <w:rPr>
          <w:rFonts w:hint="default" w:ascii="仿宋_GB2312" w:eastAsia="仿宋_GB2312" w:cs="仿宋_GB2312"/>
          <w:sz w:val="32"/>
          <w:szCs w:val="32"/>
          <w:bdr w:val="none" w:color="auto" w:sz="0" w:space="0"/>
        </w:rPr>
        <w:t>；</w:t>
      </w:r>
      <w:r>
        <w:rPr>
          <w:rFonts w:hint="default" w:ascii="仿宋_GB2312" w:hAnsi="Times New Roman" w:eastAsia="仿宋_GB2312" w:cs="仿宋_GB2312"/>
          <w:sz w:val="32"/>
          <w:szCs w:val="32"/>
          <w:bdr w:val="none" w:color="auto" w:sz="0" w:space="0"/>
        </w:rPr>
        <w:t>联系电话：</w:t>
      </w:r>
      <w:r>
        <w:rPr>
          <w:rFonts w:hint="default" w:ascii="Times New Roman" w:hAnsi="Times New Roman" w:cs="Times New Roman"/>
          <w:sz w:val="32"/>
          <w:szCs w:val="32"/>
          <w:bdr w:val="none" w:color="auto" w:sz="0" w:space="0"/>
        </w:rPr>
        <w:t>3183020</w:t>
      </w:r>
      <w:r>
        <w:rPr>
          <w:rFonts w:hint="default" w:ascii="仿宋_GB2312" w:eastAsia="仿宋_GB2312" w:cs="仿宋_GB2312"/>
          <w:sz w:val="32"/>
          <w:szCs w:val="32"/>
          <w:bdr w:val="none" w:color="auto" w:sz="0" w:space="0"/>
        </w:rPr>
        <w:t>；邮箱：</w:t>
      </w:r>
      <w:r>
        <w:rPr>
          <w:rFonts w:hint="default" w:ascii="Times New Roman" w:hAnsi="Times New Roman" w:eastAsia="仿宋_GB2312" w:cs="Times New Roman"/>
          <w:sz w:val="32"/>
          <w:szCs w:val="32"/>
          <w:bdr w:val="none" w:color="auto" w:sz="0" w:space="0"/>
        </w:rPr>
        <w:t>zbshbjbgs@zb.shandong.cn</w:t>
      </w:r>
      <w:r>
        <w:rPr>
          <w:rFonts w:hint="default" w:ascii="仿宋_GB2312" w:eastAsia="仿宋_GB2312" w:cs="仿宋_GB2312"/>
          <w:caps w:val="0"/>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pPr>
      <w:r>
        <w:rPr>
          <w:rFonts w:ascii="黑体" w:hAnsi="宋体" w:eastAsia="黑体" w:cs="黑体"/>
          <w:sz w:val="32"/>
          <w:szCs w:val="32"/>
          <w:bdr w:val="none" w:color="auto" w:sz="0" w:space="0"/>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0" w:right="0" w:firstLine="640"/>
        <w:jc w:val="both"/>
      </w:pPr>
      <w:r>
        <w:rPr>
          <w:rFonts w:hint="default" w:ascii="Times New Roman" w:hAnsi="Times New Roman" w:cs="Times New Roman"/>
          <w:sz w:val="32"/>
          <w:szCs w:val="32"/>
          <w:bdr w:val="none" w:color="auto" w:sz="0" w:space="0"/>
        </w:rPr>
        <w:t>202</w:t>
      </w:r>
      <w:r>
        <w:rPr>
          <w:rFonts w:hint="default" w:ascii="Times New Roman" w:hAnsi="Times New Roman" w:eastAsia="宋体" w:cs="Times New Roman"/>
          <w:sz w:val="32"/>
          <w:szCs w:val="32"/>
          <w:bdr w:val="none" w:color="auto" w:sz="0" w:space="0"/>
        </w:rPr>
        <w:t>2</w:t>
      </w:r>
      <w:r>
        <w:rPr>
          <w:rFonts w:hint="default" w:ascii="仿宋_GB2312" w:eastAsia="仿宋_GB2312" w:cs="仿宋_GB2312"/>
          <w:sz w:val="32"/>
          <w:szCs w:val="32"/>
          <w:bdr w:val="none" w:color="auto" w:sz="0" w:space="0"/>
        </w:rPr>
        <w:t>年，在市委、市政府的正确领导下，我局</w:t>
      </w:r>
      <w:r>
        <w:rPr>
          <w:rFonts w:hint="default" w:ascii="仿宋_GB2312" w:eastAsia="仿宋_GB2312" w:cs="仿宋_GB2312"/>
          <w:caps w:val="0"/>
          <w:color w:val="000000"/>
          <w:spacing w:val="0"/>
          <w:sz w:val="32"/>
          <w:szCs w:val="32"/>
          <w:bdr w:val="none" w:color="auto" w:sz="0" w:space="0"/>
          <w:shd w:val="clear" w:fill="FFFFFF"/>
        </w:rPr>
        <w:t>认真贯彻落实上级有关工作部署，</w:t>
      </w:r>
      <w:r>
        <w:rPr>
          <w:rFonts w:hint="default" w:ascii="仿宋_GB2312" w:eastAsia="仿宋_GB2312" w:cs="仿宋_GB2312"/>
          <w:sz w:val="32"/>
          <w:szCs w:val="32"/>
          <w:bdr w:val="none" w:color="auto" w:sz="0" w:space="0"/>
        </w:rPr>
        <w:t>认真执行《中华人民共和国政府信息公开条例》，</w:t>
      </w:r>
      <w:r>
        <w:rPr>
          <w:rFonts w:hint="default" w:ascii="仿宋_GB2312" w:eastAsia="仿宋_GB2312" w:cs="仿宋_GB2312"/>
          <w:caps w:val="0"/>
          <w:color w:val="000000"/>
          <w:spacing w:val="0"/>
          <w:sz w:val="32"/>
          <w:szCs w:val="32"/>
          <w:bdr w:val="none" w:color="auto" w:sz="0" w:space="0"/>
          <w:shd w:val="clear" w:fill="FFFFFF"/>
        </w:rPr>
        <w:t>健全工作制度，加强信息公开平台建设，扎实推进政府信息公开工作。</w:t>
      </w:r>
      <w:r>
        <w:rPr>
          <w:rFonts w:hint="default" w:ascii="仿宋_GB2312" w:eastAsia="仿宋_GB2312" w:cs="仿宋_GB2312"/>
          <w:sz w:val="32"/>
          <w:szCs w:val="32"/>
          <w:bdr w:val="none" w:color="auto" w:sz="0" w:space="0"/>
        </w:rPr>
        <w:t>主要工作如下：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0" w:right="0" w:firstLine="640"/>
        <w:jc w:val="both"/>
      </w:pPr>
      <w:r>
        <w:rPr>
          <w:rFonts w:ascii="楷体_GB2312" w:eastAsia="楷体_GB2312" w:cs="楷体_GB2312"/>
          <w:caps w:val="0"/>
          <w:color w:val="000000"/>
          <w:spacing w:val="0"/>
          <w:sz w:val="32"/>
          <w:szCs w:val="32"/>
          <w:bdr w:val="none" w:color="auto" w:sz="0" w:space="0"/>
          <w:shd w:val="clear" w:fill="FFFFFF"/>
        </w:rPr>
        <w:t>（一）压实责任，政务信息发布常态化</w:t>
      </w:r>
      <w:r>
        <w:rPr>
          <w:rFonts w:hint="eastAsia" w:ascii="楷体_GB2312" w:eastAsia="楷体_GB2312" w:cs="楷体_GB2312"/>
          <w:caps w:val="0"/>
          <w:color w:val="000000"/>
          <w:spacing w:val="0"/>
          <w:sz w:val="32"/>
          <w:szCs w:val="32"/>
          <w:bdr w:val="none" w:color="auto" w:sz="0" w:space="0"/>
          <w:shd w:val="clear" w:fill="FFFFFF"/>
        </w:rPr>
        <w:t>。</w:t>
      </w:r>
      <w:r>
        <w:rPr>
          <w:rFonts w:hint="default" w:ascii="仿宋_GB2312" w:eastAsia="仿宋_GB2312" w:cs="仿宋_GB2312"/>
          <w:caps w:val="0"/>
          <w:spacing w:val="0"/>
          <w:sz w:val="32"/>
          <w:szCs w:val="32"/>
          <w:bdr w:val="none" w:color="auto" w:sz="0" w:space="0"/>
          <w:shd w:val="clear" w:fill="FFFFFF"/>
        </w:rPr>
        <w:t>建立局主要负责人负总责，分管负责人具体负责，各处室（单位）具体抓落实的政务公开工作机制。实时公开全市城市空气质量自动监测站监测数据，预报未来</w:t>
      </w:r>
      <w:r>
        <w:rPr>
          <w:rFonts w:hint="default" w:ascii="Times New Roman" w:hAnsi="Times New Roman" w:eastAsia="仿宋_GB2312" w:cs="Times New Roman"/>
          <w:sz w:val="32"/>
          <w:szCs w:val="32"/>
          <w:bdr w:val="none" w:color="auto" w:sz="0" w:space="0"/>
        </w:rPr>
        <w:t>7</w:t>
      </w:r>
      <w:r>
        <w:rPr>
          <w:rFonts w:hint="default" w:ascii="仿宋_GB2312" w:eastAsia="仿宋_GB2312" w:cs="仿宋_GB2312"/>
          <w:caps w:val="0"/>
          <w:spacing w:val="0"/>
          <w:sz w:val="32"/>
          <w:szCs w:val="32"/>
          <w:bdr w:val="none" w:color="auto" w:sz="0" w:space="0"/>
          <w:shd w:val="clear" w:fill="FFFFFF"/>
        </w:rPr>
        <w:t>日空气质量指数（AQI）。每月通报区县（镇办）空气质量排名、地表水环境质量排名、集中式饮用水源地水质等情况。</w:t>
      </w:r>
      <w:r>
        <w:rPr>
          <w:rFonts w:hint="default" w:ascii="Times New Roman" w:hAnsi="Times New Roman" w:eastAsia="仿宋_GB2312" w:cs="Times New Roman"/>
          <w:sz w:val="32"/>
          <w:szCs w:val="32"/>
          <w:bdr w:val="none" w:color="auto" w:sz="0" w:space="0"/>
        </w:rPr>
        <w:t>2022</w:t>
      </w:r>
      <w:r>
        <w:rPr>
          <w:rFonts w:hint="default" w:ascii="仿宋_GB2312" w:eastAsia="仿宋_GB2312" w:cs="仿宋_GB2312"/>
          <w:caps w:val="0"/>
          <w:spacing w:val="0"/>
          <w:sz w:val="32"/>
          <w:szCs w:val="32"/>
          <w:bdr w:val="none" w:color="auto" w:sz="0" w:space="0"/>
          <w:shd w:val="clear" w:fill="FFFFFF"/>
        </w:rPr>
        <w:t>年</w:t>
      </w:r>
      <w:r>
        <w:rPr>
          <w:rFonts w:hint="default" w:ascii="仿宋_GB2312" w:eastAsia="仿宋_GB2312" w:cs="仿宋_GB2312"/>
          <w:sz w:val="32"/>
          <w:szCs w:val="32"/>
          <w:bdr w:val="none" w:color="auto" w:sz="0" w:space="0"/>
        </w:rPr>
        <w:t>通过政府网站主动发布各类政府信息</w:t>
      </w:r>
      <w:r>
        <w:rPr>
          <w:rFonts w:hint="default" w:ascii="Times New Roman" w:hAnsi="Times New Roman" w:eastAsia="仿宋_GB2312" w:cs="Times New Roman"/>
          <w:sz w:val="32"/>
          <w:szCs w:val="32"/>
          <w:bdr w:val="none" w:color="auto" w:sz="0" w:space="0"/>
        </w:rPr>
        <w:t>1064</w:t>
      </w:r>
      <w:r>
        <w:rPr>
          <w:rFonts w:hint="default" w:ascii="仿宋_GB2312" w:eastAsia="仿宋_GB2312" w:cs="仿宋_GB2312"/>
          <w:sz w:val="32"/>
          <w:szCs w:val="32"/>
          <w:bdr w:val="none" w:color="auto" w:sz="0" w:space="0"/>
        </w:rPr>
        <w:t>条，其中部门文件7件、政策性规范文件</w:t>
      </w:r>
      <w:r>
        <w:rPr>
          <w:rFonts w:hint="default" w:ascii="Times New Roman" w:hAnsi="Times New Roman" w:eastAsia="仿宋_GB2312" w:cs="Times New Roman"/>
          <w:sz w:val="32"/>
          <w:szCs w:val="32"/>
          <w:bdr w:val="none" w:color="auto" w:sz="0" w:space="0"/>
        </w:rPr>
        <w:t>1</w:t>
      </w:r>
      <w:r>
        <w:rPr>
          <w:rFonts w:hint="default" w:ascii="仿宋_GB2312" w:eastAsia="仿宋_GB2312" w:cs="仿宋_GB2312"/>
          <w:sz w:val="32"/>
          <w:szCs w:val="32"/>
          <w:bdr w:val="none" w:color="auto" w:sz="0" w:space="0"/>
        </w:rPr>
        <w:t>件、新增文件多角度政策解读</w:t>
      </w:r>
      <w:r>
        <w:rPr>
          <w:rFonts w:hint="default" w:ascii="Times New Roman" w:hAnsi="Times New Roman" w:eastAsia="仿宋_GB2312" w:cs="Times New Roman"/>
          <w:sz w:val="32"/>
          <w:szCs w:val="32"/>
          <w:bdr w:val="none" w:color="auto" w:sz="0" w:space="0"/>
        </w:rPr>
        <w:t>27</w:t>
      </w:r>
      <w:r>
        <w:rPr>
          <w:rFonts w:hint="default" w:ascii="仿宋_GB2312" w:eastAsia="仿宋_GB2312" w:cs="仿宋_GB2312"/>
          <w:sz w:val="32"/>
          <w:szCs w:val="32"/>
          <w:bdr w:val="none" w:color="auto" w:sz="0" w:space="0"/>
        </w:rPr>
        <w:t>件、部门会议</w:t>
      </w:r>
      <w:r>
        <w:rPr>
          <w:rFonts w:hint="default" w:ascii="Times New Roman" w:hAnsi="Times New Roman" w:cs="Times New Roman"/>
          <w:sz w:val="32"/>
          <w:szCs w:val="32"/>
          <w:bdr w:val="none" w:color="auto" w:sz="0" w:space="0"/>
        </w:rPr>
        <w:t>12</w:t>
      </w:r>
      <w:r>
        <w:rPr>
          <w:rFonts w:hint="default" w:ascii="仿宋_GB2312" w:eastAsia="仿宋_GB2312" w:cs="仿宋_GB2312"/>
          <w:sz w:val="32"/>
          <w:szCs w:val="32"/>
          <w:bdr w:val="none" w:color="auto" w:sz="0" w:space="0"/>
        </w:rPr>
        <w:t>次、会议解读</w:t>
      </w:r>
      <w:r>
        <w:rPr>
          <w:rFonts w:hint="default" w:ascii="Times New Roman" w:hAnsi="Times New Roman" w:eastAsia="仿宋_GB2312" w:cs="Times New Roman"/>
          <w:sz w:val="32"/>
          <w:szCs w:val="32"/>
          <w:bdr w:val="none" w:color="auto" w:sz="0" w:space="0"/>
        </w:rPr>
        <w:t>12</w:t>
      </w:r>
      <w:r>
        <w:rPr>
          <w:rFonts w:hint="default" w:ascii="仿宋_GB2312" w:eastAsia="仿宋_GB2312" w:cs="仿宋_GB2312"/>
          <w:sz w:val="32"/>
          <w:szCs w:val="32"/>
          <w:bdr w:val="none" w:color="auto" w:sz="0" w:space="0"/>
        </w:rPr>
        <w:t>次。</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0" w:right="0" w:firstLine="640"/>
        <w:jc w:val="both"/>
      </w:pPr>
      <w:r>
        <w:rPr>
          <w:rFonts w:hint="eastAsia" w:ascii="楷体_GB2312" w:eastAsia="楷体_GB2312" w:cs="楷体_GB2312"/>
          <w:caps w:val="0"/>
          <w:color w:val="000000"/>
          <w:spacing w:val="0"/>
          <w:sz w:val="32"/>
          <w:szCs w:val="32"/>
          <w:bdr w:val="none" w:color="auto" w:sz="0" w:space="0"/>
          <w:shd w:val="clear" w:fill="FFFFFF"/>
        </w:rPr>
        <w:t>（二）提升效能，依申请公开规范化答复。</w:t>
      </w:r>
      <w:r>
        <w:rPr>
          <w:rFonts w:hint="default" w:ascii="仿宋_GB2312" w:eastAsia="仿宋_GB2312" w:cs="仿宋_GB2312"/>
          <w:caps w:val="0"/>
          <w:spacing w:val="0"/>
          <w:sz w:val="32"/>
          <w:szCs w:val="32"/>
          <w:bdr w:val="none" w:color="auto" w:sz="0" w:space="0"/>
          <w:shd w:val="clear" w:fill="FFFFFF"/>
        </w:rPr>
        <w:t>修订更新政府信息公开指南，畅通信函和门户网站受理渠道，建立健全申请登记、跟踪办理、限期答复制度，确保查收不遗漏、咨询有解答。向申请人做出的书面答复，援引《政府信息公开条例》法定依据并明示救济途经，确保严格按照答复期限、答复类型进行办理。</w:t>
      </w:r>
      <w:r>
        <w:rPr>
          <w:rFonts w:hint="default" w:ascii="Times New Roman" w:hAnsi="Times New Roman" w:eastAsia="仿宋_GB2312" w:cs="Times New Roman"/>
          <w:sz w:val="32"/>
          <w:szCs w:val="32"/>
          <w:bdr w:val="none" w:color="auto" w:sz="0" w:space="0"/>
        </w:rPr>
        <w:t>2022</w:t>
      </w:r>
      <w:r>
        <w:rPr>
          <w:rFonts w:hint="default" w:ascii="仿宋_GB2312" w:eastAsia="仿宋_GB2312" w:cs="仿宋_GB2312"/>
          <w:sz w:val="32"/>
          <w:szCs w:val="32"/>
          <w:bdr w:val="none" w:color="auto" w:sz="0" w:space="0"/>
        </w:rPr>
        <w:t>全年收到政府信息公开申请</w:t>
      </w:r>
      <w:r>
        <w:rPr>
          <w:rFonts w:hint="default" w:ascii="Times New Roman" w:hAnsi="Times New Roman" w:eastAsia="仿宋_GB2312" w:cs="Times New Roman"/>
          <w:sz w:val="32"/>
          <w:szCs w:val="32"/>
          <w:bdr w:val="none" w:color="auto" w:sz="0" w:space="0"/>
        </w:rPr>
        <w:t>19</w:t>
      </w:r>
      <w:r>
        <w:rPr>
          <w:rFonts w:hint="default" w:ascii="仿宋_GB2312" w:eastAsia="仿宋_GB2312" w:cs="仿宋_GB2312"/>
          <w:sz w:val="32"/>
          <w:szCs w:val="32"/>
          <w:bdr w:val="none" w:color="auto" w:sz="0" w:space="0"/>
        </w:rPr>
        <w:t>件，</w:t>
      </w:r>
      <w:r>
        <w:rPr>
          <w:rFonts w:hint="default" w:ascii="仿宋_GB2312" w:hAnsi="Times New Roman" w:eastAsia="仿宋_GB2312" w:cs="仿宋_GB2312"/>
          <w:sz w:val="32"/>
          <w:szCs w:val="32"/>
          <w:bdr w:val="none" w:color="auto" w:sz="0" w:space="0"/>
        </w:rPr>
        <w:t>实现全年办结率</w:t>
      </w:r>
      <w:r>
        <w:rPr>
          <w:rFonts w:hint="default" w:ascii="Times New Roman" w:hAnsi="Times New Roman" w:cs="Times New Roman"/>
          <w:sz w:val="32"/>
          <w:szCs w:val="32"/>
          <w:bdr w:val="none" w:color="auto" w:sz="0" w:space="0"/>
        </w:rPr>
        <w:t>100%</w:t>
      </w:r>
      <w:r>
        <w:rPr>
          <w:rFonts w:hint="default" w:ascii="仿宋_GB2312" w:eastAsia="仿宋_GB2312" w:cs="仿宋_GB2312"/>
          <w:caps w:val="0"/>
          <w:spacing w:val="0"/>
          <w:sz w:val="32"/>
          <w:szCs w:val="32"/>
          <w:bdr w:val="none" w:color="auto" w:sz="0" w:space="0"/>
          <w:shd w:val="clear" w:fill="FFFFFF"/>
        </w:rPr>
        <w:t>。主要涉及环境质量状况、项目环评报告等，依申请公开数量较2021年度减少41%。</w:t>
      </w:r>
    </w:p>
    <w:p>
      <w:pPr>
        <w:pStyle w:val="2"/>
        <w:keepNext w:val="0"/>
        <w:keepLines w:val="0"/>
        <w:widowControl/>
        <w:suppressLineNumbers w:val="0"/>
        <w:autoSpaceDE w:val="0"/>
        <w:autoSpaceDN/>
        <w:spacing w:line="560" w:lineRule="atLeast"/>
        <w:ind w:left="0" w:firstLine="640"/>
      </w:pPr>
      <w:r>
        <w:rPr>
          <w:rFonts w:hint="eastAsia" w:ascii="楷体_GB2312" w:eastAsia="楷体_GB2312" w:cs="楷体_GB2312"/>
          <w:caps w:val="0"/>
          <w:color w:val="000000"/>
          <w:spacing w:val="0"/>
          <w:sz w:val="32"/>
          <w:szCs w:val="32"/>
          <w:shd w:val="clear" w:fill="FFFFFF"/>
        </w:rPr>
        <w:t>（三）完善机制，政务公开制度化</w:t>
      </w:r>
      <w:r>
        <w:rPr>
          <w:rFonts w:hint="default" w:ascii="仿宋_GB2312" w:eastAsia="仿宋_GB2312" w:cs="仿宋_GB2312"/>
          <w:sz w:val="32"/>
          <w:szCs w:val="32"/>
        </w:rPr>
        <w:t>。按照“谁主管、谁审核、谁负责”，所有报送和发布的上网信息必须经各科室(单位)负责人审核同意、报分管领导审定后发布；局办公室定期跟踪、督促各科室（单位）做好信息发布工作，确保信息实时更新，发现问题及时更正。制定《淄博市生态环境局信息公开保密审查制度》，禁止发布违法、涉密信息，禁止发布损害他人权益的信息。</w:t>
      </w:r>
    </w:p>
    <w:p>
      <w:pPr>
        <w:pStyle w:val="2"/>
        <w:keepNext w:val="0"/>
        <w:keepLines w:val="0"/>
        <w:widowControl/>
        <w:suppressLineNumbers w:val="0"/>
        <w:autoSpaceDE w:val="0"/>
        <w:autoSpaceDN/>
        <w:spacing w:line="560" w:lineRule="atLeast"/>
        <w:ind w:left="0" w:firstLine="640"/>
      </w:pPr>
      <w:r>
        <w:rPr>
          <w:rFonts w:hint="eastAsia" w:ascii="楷体_GB2312" w:eastAsia="楷体_GB2312" w:cs="楷体_GB2312"/>
          <w:caps w:val="0"/>
          <w:color w:val="000000"/>
          <w:spacing w:val="0"/>
          <w:sz w:val="32"/>
          <w:szCs w:val="32"/>
          <w:shd w:val="clear" w:fill="FFFFFF"/>
        </w:rPr>
        <w:t>（四）健全平台，信息发布多样化。</w:t>
      </w:r>
      <w:r>
        <w:rPr>
          <w:rFonts w:hint="default" w:ascii="仿宋_GB2312" w:eastAsia="仿宋_GB2312" w:cs="仿宋_GB2312"/>
          <w:caps w:val="0"/>
          <w:spacing w:val="0"/>
          <w:sz w:val="32"/>
          <w:szCs w:val="32"/>
          <w:shd w:val="clear" w:fill="FFFFFF"/>
        </w:rPr>
        <w:t>强化门户网站运行管理。持续加强政府门户网站全流程建设管理，健全安全管理、审核发布、日常检查、部门考核等工作制度。市生态环境局政府门户网站和政务新媒体逐步发展为对外展示、日常宣传生态环境保护工作的主窗口、主战场，成为群众喜闻乐见获取生态环境信息的重要途径。</w:t>
      </w:r>
    </w:p>
    <w:p>
      <w:pPr>
        <w:pStyle w:val="2"/>
        <w:keepNext w:val="0"/>
        <w:keepLines w:val="0"/>
        <w:widowControl/>
        <w:suppressLineNumbers w:val="0"/>
        <w:autoSpaceDE w:val="0"/>
        <w:autoSpaceDN/>
        <w:spacing w:line="560" w:lineRule="atLeast"/>
        <w:ind w:left="0" w:firstLine="640"/>
      </w:pPr>
      <w:r>
        <w:rPr>
          <w:rFonts w:hint="eastAsia" w:ascii="楷体_GB2312" w:eastAsia="楷体_GB2312" w:cs="楷体_GB2312"/>
          <w:caps w:val="0"/>
          <w:color w:val="000000"/>
          <w:spacing w:val="0"/>
          <w:sz w:val="32"/>
          <w:szCs w:val="32"/>
          <w:shd w:val="clear" w:fill="FFFFFF"/>
        </w:rPr>
        <w:t>（五）加强保障，工作流程规范化。</w:t>
      </w:r>
      <w:r>
        <w:rPr>
          <w:rFonts w:hint="default" w:ascii="仿宋_GB2312" w:eastAsia="仿宋_GB2312" w:cs="仿宋_GB2312"/>
          <w:caps w:val="0"/>
          <w:spacing w:val="0"/>
          <w:sz w:val="32"/>
          <w:szCs w:val="32"/>
          <w:shd w:val="clear" w:fill="FFFFFF"/>
        </w:rPr>
        <w:t>市局办公室统筹安排网站管理工作，监测科做好网络技术保障工作；局机关各科室（单位）依据《淄博市生态环境局政务公开工作实施方案》《淄博市生态环境局信息公开保密审查制度》规定，在各自职能范围内做好信息公开工作。每季度召开相关会议，研究部署政策解读、政府网站和政务新媒体管理等政务公开重点工作，多次邀请市政府政务公开办同志进行政务公开工作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60" w:lineRule="atLeast"/>
        <w:ind w:left="0" w:right="0" w:firstLine="640"/>
        <w:jc w:val="both"/>
      </w:pPr>
      <w:r>
        <w:rPr>
          <w:rFonts w:hint="eastAsia" w:ascii="黑体" w:hAnsi="宋体" w:eastAsia="黑体" w:cs="黑体"/>
          <w:caps w:val="0"/>
          <w:color w:val="333333"/>
          <w:spacing w:val="0"/>
          <w:sz w:val="32"/>
          <w:szCs w:val="32"/>
          <w:bdr w:val="none" w:color="auto" w:sz="0" w:space="0"/>
          <w:shd w:val="clear" w:fill="FFFFFF"/>
        </w:rPr>
        <w:t>二、主动公开政府信息情况</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auto" w:fill="C6D9F1"/>
            <w:tcMar>
              <w:top w:w="0" w:type="dxa"/>
              <w:left w:w="108" w:type="dxa"/>
              <w:bottom w:w="0" w:type="dxa"/>
              <w:right w:w="108" w:type="dxa"/>
            </w:tcMar>
            <w:vAlign w:val="center"/>
          </w:tcPr>
          <w:p>
            <w:pPr>
              <w:pStyle w:val="2"/>
              <w:keepNext w:val="0"/>
              <w:keepLines w:val="0"/>
              <w:widowControl/>
              <w:suppressLineNumbers w:val="0"/>
              <w:jc w:val="center"/>
            </w:pPr>
            <w:r>
              <w:rPr>
                <w:rFonts w:hint="eastAsia" w:ascii="黑体" w:hAnsi="宋体" w:eastAsia="黑体" w:cs="黑体"/>
                <w:color w:val="000000"/>
                <w:sz w:val="21"/>
                <w:szCs w:val="21"/>
                <w:bdr w:val="none" w:color="auto" w:sz="0" w:space="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default" w:ascii="仿宋_GB2312" w:eastAsia="仿宋_GB2312" w:cs="仿宋_GB2312"/>
                <w:color w:val="000000"/>
                <w:sz w:val="21"/>
                <w:szCs w:val="21"/>
                <w:bdr w:val="none" w:color="auto" w:sz="0" w:space="0"/>
              </w:rPr>
              <w:t>信息内容</w:t>
            </w:r>
          </w:p>
        </w:tc>
        <w:tc>
          <w:tcPr>
            <w:tcW w:w="1250"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default" w:ascii="仿宋_GB2312" w:eastAsia="仿宋_GB2312" w:cs="仿宋_GB2312"/>
                <w:color w:val="000000"/>
                <w:sz w:val="21"/>
                <w:szCs w:val="21"/>
                <w:bdr w:val="none" w:color="auto" w:sz="0" w:space="0"/>
              </w:rPr>
              <w:t>本年制发件数</w:t>
            </w:r>
          </w:p>
        </w:tc>
        <w:tc>
          <w:tcPr>
            <w:tcW w:w="1250"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default" w:ascii="仿宋_GB2312" w:eastAsia="仿宋_GB2312" w:cs="仿宋_GB2312"/>
                <w:color w:val="000000"/>
                <w:sz w:val="21"/>
                <w:szCs w:val="21"/>
                <w:bdr w:val="none" w:color="auto" w:sz="0" w:space="0"/>
              </w:rPr>
              <w:t>本年废止件数</w:t>
            </w:r>
          </w:p>
        </w:tc>
        <w:tc>
          <w:tcPr>
            <w:tcW w:w="1250"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default" w:ascii="仿宋_GB2312" w:eastAsia="仿宋_GB2312" w:cs="仿宋_GB2312"/>
                <w:color w:val="000000"/>
                <w:sz w:val="21"/>
                <w:szCs w:val="21"/>
                <w:bdr w:val="none" w:color="auto" w:sz="0" w:space="0"/>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left"/>
            </w:pPr>
            <w:r>
              <w:rPr>
                <w:rFonts w:hint="default" w:ascii="仿宋_GB2312" w:eastAsia="仿宋_GB2312" w:cs="仿宋_GB2312"/>
                <w:color w:val="000000"/>
                <w:sz w:val="21"/>
                <w:szCs w:val="21"/>
                <w:bdr w:val="none" w:color="auto" w:sz="0" w:space="0"/>
              </w:rPr>
              <w:t>规章</w:t>
            </w:r>
          </w:p>
        </w:tc>
        <w:tc>
          <w:tcPr>
            <w:tcW w:w="1250"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default" w:ascii="仿宋_GB2312" w:eastAsia="仿宋_GB2312" w:cs="仿宋_GB2312"/>
                <w:color w:val="000000"/>
                <w:sz w:val="21"/>
                <w:szCs w:val="21"/>
                <w:bdr w:val="none" w:color="auto" w:sz="0" w:space="0"/>
              </w:rPr>
              <w:t>0</w:t>
            </w:r>
          </w:p>
        </w:tc>
        <w:tc>
          <w:tcPr>
            <w:tcW w:w="1250"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default" w:ascii="仿宋_GB2312" w:eastAsia="仿宋_GB2312" w:cs="仿宋_GB2312"/>
                <w:color w:val="000000"/>
                <w:sz w:val="21"/>
                <w:szCs w:val="21"/>
                <w:bdr w:val="none" w:color="auto" w:sz="0" w:space="0"/>
              </w:rPr>
              <w:t>0</w:t>
            </w:r>
          </w:p>
        </w:tc>
        <w:tc>
          <w:tcPr>
            <w:tcW w:w="1250"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default" w:ascii="仿宋_GB2312" w:eastAsia="仿宋_GB2312" w:cs="仿宋_GB2312"/>
                <w:color w:val="00000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left"/>
            </w:pPr>
            <w:r>
              <w:rPr>
                <w:rFonts w:hint="default" w:ascii="仿宋_GB2312" w:eastAsia="仿宋_GB2312" w:cs="仿宋_GB2312"/>
                <w:color w:val="000000"/>
                <w:sz w:val="21"/>
                <w:szCs w:val="21"/>
                <w:bdr w:val="none" w:color="auto" w:sz="0" w:space="0"/>
              </w:rPr>
              <w:t>行政规范性文件</w:t>
            </w:r>
          </w:p>
        </w:tc>
        <w:tc>
          <w:tcPr>
            <w:tcW w:w="1250"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default" w:ascii="仿宋_GB2312" w:eastAsia="仿宋_GB2312" w:cs="仿宋_GB2312"/>
                <w:color w:val="000000"/>
                <w:sz w:val="21"/>
                <w:szCs w:val="21"/>
                <w:bdr w:val="none" w:color="auto" w:sz="0" w:space="0"/>
              </w:rPr>
              <w:t>1</w:t>
            </w:r>
          </w:p>
        </w:tc>
        <w:tc>
          <w:tcPr>
            <w:tcW w:w="1250"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default" w:ascii="仿宋_GB2312" w:eastAsia="仿宋_GB2312" w:cs="仿宋_GB2312"/>
                <w:color w:val="000000"/>
                <w:sz w:val="21"/>
                <w:szCs w:val="21"/>
                <w:bdr w:val="none" w:color="auto" w:sz="0" w:space="0"/>
              </w:rPr>
              <w:t>1</w:t>
            </w:r>
          </w:p>
        </w:tc>
        <w:tc>
          <w:tcPr>
            <w:tcW w:w="1250"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default" w:ascii="仿宋_GB2312" w:eastAsia="仿宋_GB2312" w:cs="仿宋_GB2312"/>
                <w:color w:val="000000"/>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000" w:type="pct"/>
            <w:gridSpan w:val="4"/>
            <w:tcBorders>
              <w:top w:val="nil"/>
              <w:left w:val="single" w:color="auto" w:sz="8" w:space="0"/>
              <w:bottom w:val="single" w:color="auto" w:sz="8" w:space="0"/>
              <w:right w:val="single" w:color="000000" w:sz="8" w:space="0"/>
            </w:tcBorders>
            <w:shd w:val="clear" w:color="auto" w:fill="C6D9F1"/>
            <w:tcMar>
              <w:top w:w="0" w:type="dxa"/>
              <w:left w:w="108" w:type="dxa"/>
              <w:bottom w:w="0" w:type="dxa"/>
              <w:right w:w="108" w:type="dxa"/>
            </w:tcMar>
            <w:vAlign w:val="center"/>
          </w:tcPr>
          <w:p>
            <w:pPr>
              <w:pStyle w:val="2"/>
              <w:keepNext w:val="0"/>
              <w:keepLines w:val="0"/>
              <w:widowControl/>
              <w:suppressLineNumbers w:val="0"/>
              <w:jc w:val="center"/>
            </w:pPr>
            <w:r>
              <w:rPr>
                <w:rFonts w:hint="eastAsia" w:ascii="黑体" w:hAnsi="宋体" w:eastAsia="黑体" w:cs="黑体"/>
                <w:color w:val="000000"/>
                <w:sz w:val="21"/>
                <w:szCs w:val="21"/>
                <w:bdr w:val="none" w:color="auto" w:sz="0" w:space="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default" w:ascii="仿宋_GB2312" w:eastAsia="仿宋_GB2312" w:cs="仿宋_GB2312"/>
                <w:color w:val="000000"/>
                <w:sz w:val="21"/>
                <w:szCs w:val="21"/>
                <w:bdr w:val="none" w:color="auto" w:sz="0" w:space="0"/>
              </w:rPr>
              <w:t>信息内容</w:t>
            </w:r>
          </w:p>
        </w:tc>
        <w:tc>
          <w:tcPr>
            <w:tcW w:w="3750" w:type="pct"/>
            <w:gridSpan w:val="3"/>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default" w:ascii="仿宋_GB2312" w:eastAsia="仿宋_GB2312" w:cs="仿宋_GB2312"/>
                <w:color w:val="000000"/>
                <w:sz w:val="21"/>
                <w:szCs w:val="21"/>
                <w:bdr w:val="none" w:color="auto" w:sz="0" w:space="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left"/>
            </w:pPr>
            <w:r>
              <w:rPr>
                <w:rFonts w:hint="default" w:ascii="仿宋_GB2312" w:eastAsia="仿宋_GB2312" w:cs="仿宋_GB2312"/>
                <w:color w:val="000000"/>
                <w:sz w:val="21"/>
                <w:szCs w:val="21"/>
                <w:bdr w:val="none" w:color="auto" w:sz="0" w:space="0"/>
              </w:rPr>
              <w:t>行政许可</w:t>
            </w:r>
          </w:p>
        </w:tc>
        <w:tc>
          <w:tcPr>
            <w:tcW w:w="3750" w:type="pct"/>
            <w:gridSpan w:val="3"/>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default" w:ascii="仿宋_GB2312" w:eastAsia="仿宋_GB2312" w:cs="仿宋_GB2312"/>
                <w:color w:val="000000"/>
                <w:sz w:val="21"/>
                <w:szCs w:val="21"/>
                <w:bdr w:val="none" w:color="auto" w:sz="0" w:space="0"/>
              </w:rPr>
              <w:t>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000" w:type="pct"/>
            <w:gridSpan w:val="4"/>
            <w:tcBorders>
              <w:top w:val="nil"/>
              <w:left w:val="single" w:color="auto" w:sz="8" w:space="0"/>
              <w:bottom w:val="single" w:color="auto" w:sz="8" w:space="0"/>
              <w:right w:val="single" w:color="000000" w:sz="8" w:space="0"/>
            </w:tcBorders>
            <w:shd w:val="clear" w:color="auto" w:fill="C6D9F1"/>
            <w:tcMar>
              <w:top w:w="0" w:type="dxa"/>
              <w:left w:w="108" w:type="dxa"/>
              <w:bottom w:w="0" w:type="dxa"/>
              <w:right w:w="108" w:type="dxa"/>
            </w:tcMar>
            <w:vAlign w:val="center"/>
          </w:tcPr>
          <w:p>
            <w:pPr>
              <w:pStyle w:val="2"/>
              <w:keepNext w:val="0"/>
              <w:keepLines w:val="0"/>
              <w:widowControl/>
              <w:suppressLineNumbers w:val="0"/>
              <w:jc w:val="center"/>
            </w:pPr>
            <w:r>
              <w:rPr>
                <w:rFonts w:hint="eastAsia" w:ascii="黑体" w:hAnsi="宋体" w:eastAsia="黑体" w:cs="黑体"/>
                <w:color w:val="000000"/>
                <w:sz w:val="21"/>
                <w:szCs w:val="21"/>
                <w:bdr w:val="none" w:color="auto" w:sz="0" w:space="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default" w:ascii="仿宋_GB2312" w:eastAsia="仿宋_GB2312" w:cs="仿宋_GB2312"/>
                <w:color w:val="000000"/>
                <w:sz w:val="21"/>
                <w:szCs w:val="21"/>
                <w:bdr w:val="none" w:color="auto" w:sz="0" w:space="0"/>
              </w:rPr>
              <w:t>信息内容</w:t>
            </w:r>
          </w:p>
        </w:tc>
        <w:tc>
          <w:tcPr>
            <w:tcW w:w="3750" w:type="pct"/>
            <w:gridSpan w:val="3"/>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default" w:ascii="仿宋_GB2312" w:eastAsia="仿宋_GB2312" w:cs="仿宋_GB2312"/>
                <w:color w:val="000000"/>
                <w:sz w:val="21"/>
                <w:szCs w:val="21"/>
                <w:bdr w:val="none" w:color="auto" w:sz="0" w:space="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left"/>
            </w:pPr>
            <w:r>
              <w:rPr>
                <w:rFonts w:hint="default" w:ascii="仿宋_GB2312" w:eastAsia="仿宋_GB2312" w:cs="仿宋_GB2312"/>
                <w:color w:val="000000"/>
                <w:sz w:val="21"/>
                <w:szCs w:val="21"/>
                <w:bdr w:val="none" w:color="auto" w:sz="0" w:space="0"/>
              </w:rPr>
              <w:t>行政处罚</w:t>
            </w:r>
          </w:p>
        </w:tc>
        <w:tc>
          <w:tcPr>
            <w:tcW w:w="3750" w:type="pct"/>
            <w:gridSpan w:val="3"/>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default" w:ascii="仿宋_GB2312" w:eastAsia="仿宋_GB2312" w:cs="仿宋_GB2312"/>
                <w:color w:val="000000"/>
                <w:sz w:val="21"/>
                <w:szCs w:val="21"/>
                <w:bdr w:val="none" w:color="auto" w:sz="0" w:space="0"/>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left"/>
            </w:pPr>
            <w:r>
              <w:rPr>
                <w:rFonts w:hint="default" w:ascii="仿宋_GB2312" w:eastAsia="仿宋_GB2312" w:cs="仿宋_GB2312"/>
                <w:color w:val="000000"/>
                <w:sz w:val="21"/>
                <w:szCs w:val="21"/>
                <w:bdr w:val="none" w:color="auto" w:sz="0" w:space="0"/>
              </w:rPr>
              <w:t>行政强制</w:t>
            </w:r>
          </w:p>
        </w:tc>
        <w:tc>
          <w:tcPr>
            <w:tcW w:w="3750" w:type="pct"/>
            <w:gridSpan w:val="3"/>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default" w:ascii="仿宋_GB2312" w:eastAsia="仿宋_GB2312" w:cs="仿宋_GB2312"/>
                <w:color w:val="00000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trPr>
        <w:tc>
          <w:tcPr>
            <w:tcW w:w="5000" w:type="pct"/>
            <w:gridSpan w:val="4"/>
            <w:tcBorders>
              <w:top w:val="nil"/>
              <w:left w:val="single" w:color="auto" w:sz="8" w:space="0"/>
              <w:bottom w:val="single" w:color="auto" w:sz="8" w:space="0"/>
              <w:right w:val="single" w:color="000000" w:sz="8" w:space="0"/>
            </w:tcBorders>
            <w:shd w:val="clear" w:color="auto" w:fill="C6D9F1"/>
            <w:tcMar>
              <w:top w:w="0" w:type="dxa"/>
              <w:left w:w="108" w:type="dxa"/>
              <w:bottom w:w="0" w:type="dxa"/>
              <w:right w:w="108" w:type="dxa"/>
            </w:tcMar>
            <w:vAlign w:val="center"/>
          </w:tcPr>
          <w:p>
            <w:pPr>
              <w:pStyle w:val="2"/>
              <w:keepNext w:val="0"/>
              <w:keepLines w:val="0"/>
              <w:widowControl/>
              <w:suppressLineNumbers w:val="0"/>
              <w:jc w:val="center"/>
            </w:pPr>
            <w:r>
              <w:rPr>
                <w:rFonts w:hint="eastAsia" w:ascii="黑体" w:hAnsi="宋体" w:eastAsia="黑体" w:cs="黑体"/>
                <w:color w:val="000000"/>
                <w:sz w:val="21"/>
                <w:szCs w:val="21"/>
                <w:bdr w:val="none" w:color="auto" w:sz="0" w:space="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default" w:ascii="仿宋_GB2312" w:eastAsia="仿宋_GB2312" w:cs="仿宋_GB2312"/>
                <w:color w:val="000000"/>
                <w:sz w:val="21"/>
                <w:szCs w:val="21"/>
                <w:bdr w:val="none" w:color="auto" w:sz="0" w:space="0"/>
              </w:rPr>
              <w:t>信息内容</w:t>
            </w:r>
          </w:p>
        </w:tc>
        <w:tc>
          <w:tcPr>
            <w:tcW w:w="3750" w:type="pct"/>
            <w:gridSpan w:val="3"/>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default" w:ascii="仿宋_GB2312" w:eastAsia="仿宋_GB2312" w:cs="仿宋_GB2312"/>
                <w:color w:val="000000"/>
                <w:sz w:val="21"/>
                <w:szCs w:val="21"/>
                <w:bdr w:val="none" w:color="auto" w:sz="0" w:space="0"/>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left"/>
            </w:pPr>
            <w:r>
              <w:rPr>
                <w:rFonts w:hint="default" w:ascii="仿宋_GB2312" w:eastAsia="仿宋_GB2312" w:cs="仿宋_GB2312"/>
                <w:color w:val="000000"/>
                <w:sz w:val="21"/>
                <w:szCs w:val="21"/>
                <w:bdr w:val="none" w:color="auto" w:sz="0" w:space="0"/>
              </w:rPr>
              <w:t>行政事业性收费</w:t>
            </w:r>
          </w:p>
        </w:tc>
        <w:tc>
          <w:tcPr>
            <w:tcW w:w="3750" w:type="pct"/>
            <w:gridSpan w:val="3"/>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default" w:ascii="仿宋_GB2312" w:eastAsia="仿宋_GB2312" w:cs="仿宋_GB2312"/>
                <w:color w:val="000000"/>
                <w:sz w:val="21"/>
                <w:szCs w:val="21"/>
                <w:bdr w:val="none" w:color="auto" w:sz="0" w:space="0"/>
              </w:rPr>
              <w:t>0</w:t>
            </w:r>
          </w:p>
        </w:tc>
      </w:tr>
    </w:tbl>
    <w:p>
      <w:pPr>
        <w:pStyle w:val="2"/>
        <w:keepNext w:val="0"/>
        <w:keepLines w:val="0"/>
        <w:widowControl/>
        <w:suppressLineNumbers w:val="0"/>
        <w:autoSpaceDE w:val="0"/>
        <w:autoSpaceDN/>
        <w:spacing w:before="0" w:beforeAutospacing="0" w:after="0" w:afterAutospacing="0" w:line="560" w:lineRule="atLeast"/>
        <w:ind w:left="640" w:right="0"/>
        <w:jc w:val="both"/>
      </w:pPr>
      <w:r>
        <w:rPr>
          <w:rFonts w:hint="eastAsia" w:ascii="黑体" w:hAnsi="宋体" w:eastAsia="黑体" w:cs="黑体"/>
          <w:sz w:val="32"/>
          <w:szCs w:val="32"/>
          <w:shd w:val="clear" w:fill="FFFFFF"/>
        </w:rPr>
        <w:t>三、收到和处理</w:t>
      </w:r>
      <w:r>
        <w:rPr>
          <w:rFonts w:hint="eastAsia" w:ascii="黑体" w:hAnsi="宋体" w:eastAsia="黑体" w:cs="黑体"/>
          <w:sz w:val="32"/>
          <w:szCs w:val="32"/>
        </w:rPr>
        <w:t>政府</w:t>
      </w:r>
      <w:r>
        <w:rPr>
          <w:rFonts w:hint="eastAsia" w:ascii="黑体" w:hAnsi="宋体" w:eastAsia="黑体" w:cs="黑体"/>
          <w:sz w:val="32"/>
          <w:szCs w:val="32"/>
          <w:shd w:val="clear" w:fill="FFFFFF"/>
        </w:rPr>
        <w:t>信息公开申请情况</w:t>
      </w:r>
    </w:p>
    <w:tbl>
      <w:tblPr>
        <w:tblW w:w="991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36"/>
        <w:gridCol w:w="1667"/>
        <w:gridCol w:w="2883"/>
        <w:gridCol w:w="813"/>
        <w:gridCol w:w="557"/>
        <w:gridCol w:w="557"/>
        <w:gridCol w:w="715"/>
        <w:gridCol w:w="693"/>
        <w:gridCol w:w="557"/>
        <w:gridCol w:w="8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13" w:hRule="atLeast"/>
          <w:jc w:val="center"/>
        </w:trPr>
        <w:tc>
          <w:tcPr>
            <w:tcW w:w="5093" w:type="dxa"/>
            <w:gridSpan w:val="3"/>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楷体_GB2312" w:eastAsia="楷体_GB2312" w:cs="楷体_GB2312"/>
                <w:sz w:val="21"/>
                <w:szCs w:val="21"/>
                <w:bdr w:val="none" w:color="auto" w:sz="0" w:space="0"/>
              </w:rPr>
              <w:t>（本列数据的勾稽关系为：第一项加第二项之和，</w:t>
            </w:r>
          </w:p>
          <w:p>
            <w:pPr>
              <w:pStyle w:val="2"/>
              <w:keepNext w:val="0"/>
              <w:keepLines w:val="0"/>
              <w:widowControl/>
              <w:suppressLineNumbers w:val="0"/>
              <w:jc w:val="center"/>
            </w:pPr>
            <w:r>
              <w:rPr>
                <w:rFonts w:hint="eastAsia" w:ascii="楷体_GB2312" w:eastAsia="楷体_GB2312" w:cs="楷体_GB2312"/>
                <w:sz w:val="21"/>
                <w:szCs w:val="21"/>
                <w:bdr w:val="none" w:color="auto" w:sz="0" w:space="0"/>
              </w:rPr>
              <w:t>等于第三项加第四项之和）</w:t>
            </w:r>
          </w:p>
        </w:tc>
        <w:tc>
          <w:tcPr>
            <w:tcW w:w="4820" w:type="dxa"/>
            <w:gridSpan w:val="7"/>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320" w:lineRule="atLeast"/>
              <w:jc w:val="center"/>
            </w:pPr>
            <w:r>
              <w:rPr>
                <w:rFonts w:hint="eastAsia" w:ascii="黑体" w:hAnsi="宋体" w:eastAsia="黑体" w:cs="黑体"/>
                <w:sz w:val="21"/>
                <w:szCs w:val="21"/>
                <w:bdr w:val="none" w:color="auto" w:sz="0" w:space="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5" w:hRule="atLeast"/>
          <w:jc w:val="center"/>
        </w:trPr>
        <w:tc>
          <w:tcPr>
            <w:tcW w:w="5093" w:type="dxa"/>
            <w:gridSpan w:val="3"/>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2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黑体" w:hAnsi="宋体" w:eastAsia="黑体" w:cs="黑体"/>
                <w:sz w:val="21"/>
                <w:szCs w:val="21"/>
                <w:bdr w:val="none" w:color="auto" w:sz="0" w:space="0"/>
              </w:rPr>
              <w:t>自然人</w:t>
            </w:r>
          </w:p>
        </w:tc>
        <w:tc>
          <w:tcPr>
            <w:tcW w:w="3140"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320" w:lineRule="atLeast"/>
              <w:jc w:val="center"/>
            </w:pPr>
            <w:r>
              <w:rPr>
                <w:rFonts w:hint="eastAsia" w:ascii="黑体" w:hAnsi="宋体" w:eastAsia="黑体" w:cs="黑体"/>
                <w:sz w:val="21"/>
                <w:szCs w:val="21"/>
                <w:bdr w:val="none" w:color="auto" w:sz="0" w:space="0"/>
              </w:rPr>
              <w:t>法人或其他组织</w:t>
            </w:r>
          </w:p>
        </w:tc>
        <w:tc>
          <w:tcPr>
            <w:tcW w:w="851"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黑体" w:hAnsi="宋体" w:eastAsia="黑体" w:cs="黑体"/>
                <w:sz w:val="21"/>
                <w:szCs w:val="21"/>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22" w:hRule="atLeast"/>
          <w:jc w:val="center"/>
        </w:trPr>
        <w:tc>
          <w:tcPr>
            <w:tcW w:w="5093" w:type="dxa"/>
            <w:gridSpan w:val="3"/>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2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320" w:lineRule="atLeast"/>
              <w:ind w:left="-106" w:right="-107" w:hanging="1"/>
              <w:jc w:val="center"/>
            </w:pPr>
            <w:r>
              <w:rPr>
                <w:rFonts w:hint="eastAsia" w:ascii="黑体" w:hAnsi="宋体" w:eastAsia="黑体" w:cs="黑体"/>
                <w:sz w:val="21"/>
                <w:szCs w:val="21"/>
              </w:rPr>
              <w:t>商业企业</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320" w:lineRule="atLeast"/>
              <w:ind w:left="-107" w:right="-107"/>
              <w:jc w:val="center"/>
            </w:pPr>
            <w:r>
              <w:rPr>
                <w:rFonts w:hint="eastAsia" w:ascii="黑体" w:hAnsi="宋体" w:eastAsia="黑体" w:cs="黑体"/>
                <w:sz w:val="21"/>
                <w:szCs w:val="21"/>
              </w:rPr>
              <w:t>科研机构</w:t>
            </w:r>
          </w:p>
        </w:tc>
        <w:tc>
          <w:tcPr>
            <w:tcW w:w="73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320" w:lineRule="atLeast"/>
              <w:ind w:left="-107" w:right="-107"/>
              <w:jc w:val="center"/>
            </w:pPr>
            <w:r>
              <w:rPr>
                <w:rFonts w:hint="eastAsia" w:ascii="黑体" w:hAnsi="宋体" w:eastAsia="黑体" w:cs="黑体"/>
                <w:sz w:val="21"/>
                <w:szCs w:val="21"/>
              </w:rPr>
              <w:t>社会公益组织</w:t>
            </w:r>
          </w:p>
        </w:tc>
        <w:tc>
          <w:tcPr>
            <w:tcW w:w="70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320" w:lineRule="atLeast"/>
              <w:ind w:left="-106" w:right="-107" w:hanging="1"/>
              <w:jc w:val="center"/>
            </w:pPr>
            <w:r>
              <w:rPr>
                <w:rFonts w:hint="eastAsia" w:ascii="黑体" w:hAnsi="宋体" w:eastAsia="黑体" w:cs="黑体"/>
                <w:sz w:val="21"/>
                <w:szCs w:val="21"/>
              </w:rPr>
              <w:t>法律服务机构</w:t>
            </w:r>
          </w:p>
        </w:tc>
        <w:tc>
          <w:tcPr>
            <w:tcW w:w="56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360" w:lineRule="atLeast"/>
              <w:ind w:left="-63" w:right="-134"/>
              <w:jc w:val="center"/>
            </w:pPr>
            <w:r>
              <w:rPr>
                <w:rFonts w:hint="eastAsia" w:ascii="黑体" w:hAnsi="宋体" w:eastAsia="黑体" w:cs="黑体"/>
                <w:sz w:val="21"/>
                <w:szCs w:val="21"/>
              </w:rPr>
              <w:t>其他</w:t>
            </w:r>
          </w:p>
        </w:tc>
        <w:tc>
          <w:tcPr>
            <w:tcW w:w="851"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0" w:hRule="atLeast"/>
          <w:jc w:val="center"/>
        </w:trPr>
        <w:tc>
          <w:tcPr>
            <w:tcW w:w="5093"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黑体" w:hAnsi="宋体" w:eastAsia="黑体" w:cs="黑体"/>
                <w:sz w:val="21"/>
                <w:szCs w:val="21"/>
                <w:bdr w:val="none" w:color="auto" w:sz="0" w:space="0"/>
              </w:rPr>
              <w:t>一、本年新收政府信息公开申请数量</w:t>
            </w:r>
          </w:p>
        </w:tc>
        <w:tc>
          <w:tcPr>
            <w:tcW w:w="8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14</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2</w:t>
            </w:r>
          </w:p>
        </w:tc>
        <w:tc>
          <w:tcPr>
            <w:tcW w:w="73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3</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19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0" w:hRule="atLeast"/>
          <w:jc w:val="center"/>
        </w:trPr>
        <w:tc>
          <w:tcPr>
            <w:tcW w:w="5093"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黑体" w:hAnsi="宋体" w:eastAsia="黑体" w:cs="黑体"/>
                <w:sz w:val="21"/>
                <w:szCs w:val="21"/>
                <w:bdr w:val="none" w:color="auto" w:sz="0" w:space="0"/>
              </w:rPr>
              <w:t>二、上年结转政府信息公开申请数量</w:t>
            </w:r>
          </w:p>
        </w:tc>
        <w:tc>
          <w:tcPr>
            <w:tcW w:w="8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3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16"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pPr>
            <w:r>
              <w:rPr>
                <w:rFonts w:hint="eastAsia" w:ascii="黑体" w:hAnsi="宋体" w:eastAsia="黑体" w:cs="黑体"/>
                <w:sz w:val="21"/>
                <w:szCs w:val="21"/>
                <w:bdr w:val="none" w:color="auto" w:sz="0" w:space="0"/>
              </w:rPr>
              <w:t>三、本年度办理结果</w:t>
            </w:r>
          </w:p>
        </w:tc>
        <w:tc>
          <w:tcPr>
            <w:tcW w:w="467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黑体" w:hAnsi="宋体" w:eastAsia="黑体" w:cs="黑体"/>
                <w:sz w:val="21"/>
                <w:szCs w:val="21"/>
                <w:bdr w:val="none" w:color="auto" w:sz="0" w:space="0"/>
              </w:rPr>
              <w:t>（一）予以公开</w:t>
            </w:r>
          </w:p>
        </w:tc>
        <w:tc>
          <w:tcPr>
            <w:tcW w:w="8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14</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2</w:t>
            </w:r>
          </w:p>
        </w:tc>
        <w:tc>
          <w:tcPr>
            <w:tcW w:w="73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3</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85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19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67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黑体" w:hAnsi="宋体" w:eastAsia="黑体" w:cs="黑体"/>
                <w:sz w:val="21"/>
                <w:szCs w:val="21"/>
                <w:bdr w:val="none" w:color="auto" w:sz="0" w:space="0"/>
              </w:rPr>
              <w:t>（二）部分公开（区分处理的，只计这一情形，不计其他情形）</w:t>
            </w:r>
          </w:p>
        </w:tc>
        <w:tc>
          <w:tcPr>
            <w:tcW w:w="8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3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4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701"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ind w:left="-107"/>
            </w:pPr>
            <w:r>
              <w:rPr>
                <w:rFonts w:hint="eastAsia" w:ascii="黑体" w:hAnsi="宋体" w:eastAsia="黑体" w:cs="黑体"/>
                <w:sz w:val="21"/>
                <w:szCs w:val="21"/>
              </w:rPr>
              <w:t>（三）不予公开</w:t>
            </w:r>
          </w:p>
        </w:tc>
        <w:tc>
          <w:tcPr>
            <w:tcW w:w="29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仿宋_GB2312" w:eastAsia="仿宋_GB2312" w:cs="仿宋_GB2312"/>
                <w:sz w:val="21"/>
                <w:szCs w:val="21"/>
                <w:bdr w:val="none" w:color="auto" w:sz="0" w:space="0"/>
              </w:rPr>
              <w:t>1.属于国家秘密</w:t>
            </w:r>
          </w:p>
        </w:tc>
        <w:tc>
          <w:tcPr>
            <w:tcW w:w="8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3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85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4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70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9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仿宋_GB2312" w:eastAsia="仿宋_GB2312" w:cs="仿宋_GB2312"/>
                <w:sz w:val="21"/>
                <w:szCs w:val="21"/>
                <w:bdr w:val="none" w:color="auto" w:sz="0" w:space="0"/>
              </w:rPr>
              <w:t>2.其他法律行政法规禁止公开</w:t>
            </w:r>
          </w:p>
        </w:tc>
        <w:tc>
          <w:tcPr>
            <w:tcW w:w="8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3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4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70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9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仿宋_GB2312" w:eastAsia="仿宋_GB2312" w:cs="仿宋_GB2312"/>
                <w:sz w:val="21"/>
                <w:szCs w:val="21"/>
                <w:bdr w:val="none" w:color="auto" w:sz="0" w:space="0"/>
              </w:rPr>
              <w:t>3.危及</w:t>
            </w:r>
            <w:r>
              <w:rPr>
                <w:rFonts w:ascii="Calibri" w:hAnsi="Calibri" w:eastAsia="仿宋_GB2312" w:cs="Calibri"/>
                <w:sz w:val="21"/>
                <w:szCs w:val="21"/>
                <w:bdr w:val="none" w:color="auto" w:sz="0" w:space="0"/>
              </w:rPr>
              <w:t>“</w:t>
            </w:r>
            <w:r>
              <w:rPr>
                <w:rFonts w:hint="default" w:ascii="仿宋_GB2312" w:eastAsia="仿宋_GB2312" w:cs="仿宋_GB2312"/>
                <w:sz w:val="21"/>
                <w:szCs w:val="21"/>
                <w:bdr w:val="none" w:color="auto" w:sz="0" w:space="0"/>
              </w:rPr>
              <w:t>三安全一稳定</w:t>
            </w:r>
            <w:r>
              <w:rPr>
                <w:rFonts w:hint="default" w:ascii="Calibri" w:hAnsi="Calibri" w:eastAsia="仿宋_GB2312" w:cs="Calibri"/>
                <w:sz w:val="21"/>
                <w:szCs w:val="21"/>
                <w:bdr w:val="none" w:color="auto" w:sz="0" w:space="0"/>
              </w:rPr>
              <w:t>”</w:t>
            </w:r>
          </w:p>
        </w:tc>
        <w:tc>
          <w:tcPr>
            <w:tcW w:w="8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3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4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70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9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仿宋_GB2312" w:eastAsia="仿宋_GB2312" w:cs="仿宋_GB2312"/>
                <w:sz w:val="21"/>
                <w:szCs w:val="21"/>
                <w:bdr w:val="none" w:color="auto" w:sz="0" w:space="0"/>
              </w:rPr>
              <w:t>4.保护第三方合法权益</w:t>
            </w:r>
          </w:p>
        </w:tc>
        <w:tc>
          <w:tcPr>
            <w:tcW w:w="8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3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4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70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9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仿宋_GB2312" w:eastAsia="仿宋_GB2312" w:cs="仿宋_GB2312"/>
                <w:sz w:val="21"/>
                <w:szCs w:val="21"/>
                <w:bdr w:val="none" w:color="auto" w:sz="0" w:space="0"/>
              </w:rPr>
              <w:t>5.属于三类内部事务信息</w:t>
            </w:r>
          </w:p>
        </w:tc>
        <w:tc>
          <w:tcPr>
            <w:tcW w:w="8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3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4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70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9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仿宋_GB2312" w:eastAsia="仿宋_GB2312" w:cs="仿宋_GB2312"/>
                <w:sz w:val="21"/>
                <w:szCs w:val="21"/>
                <w:bdr w:val="none" w:color="auto" w:sz="0" w:space="0"/>
              </w:rPr>
              <w:t>6.属于四类过程性信息</w:t>
            </w:r>
          </w:p>
        </w:tc>
        <w:tc>
          <w:tcPr>
            <w:tcW w:w="8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3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4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70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9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仿宋_GB2312" w:eastAsia="仿宋_GB2312" w:cs="仿宋_GB2312"/>
                <w:sz w:val="21"/>
                <w:szCs w:val="21"/>
                <w:bdr w:val="none" w:color="auto" w:sz="0" w:space="0"/>
              </w:rPr>
              <w:t>7.属于行政执法案卷</w:t>
            </w:r>
          </w:p>
        </w:tc>
        <w:tc>
          <w:tcPr>
            <w:tcW w:w="8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3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4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70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9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仿宋_GB2312" w:eastAsia="仿宋_GB2312" w:cs="仿宋_GB2312"/>
                <w:sz w:val="21"/>
                <w:szCs w:val="21"/>
                <w:bdr w:val="none" w:color="auto" w:sz="0" w:space="0"/>
              </w:rPr>
              <w:t>8.属于行政查询事项</w:t>
            </w:r>
          </w:p>
        </w:tc>
        <w:tc>
          <w:tcPr>
            <w:tcW w:w="8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3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4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701"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ind w:left="-107"/>
            </w:pPr>
            <w:r>
              <w:rPr>
                <w:rFonts w:hint="eastAsia" w:ascii="黑体" w:hAnsi="宋体" w:eastAsia="黑体" w:cs="黑体"/>
                <w:sz w:val="21"/>
                <w:szCs w:val="21"/>
              </w:rPr>
              <w:t>（四）无法提供</w:t>
            </w:r>
          </w:p>
        </w:tc>
        <w:tc>
          <w:tcPr>
            <w:tcW w:w="29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仿宋_GB2312" w:eastAsia="仿宋_GB2312" w:cs="仿宋_GB2312"/>
                <w:sz w:val="21"/>
                <w:szCs w:val="21"/>
                <w:bdr w:val="none" w:color="auto" w:sz="0" w:space="0"/>
              </w:rPr>
              <w:t>1.本机关不掌握相关政府信息</w:t>
            </w:r>
          </w:p>
        </w:tc>
        <w:tc>
          <w:tcPr>
            <w:tcW w:w="8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3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4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70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9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仿宋_GB2312" w:eastAsia="仿宋_GB2312" w:cs="仿宋_GB2312"/>
                <w:sz w:val="21"/>
                <w:szCs w:val="21"/>
                <w:bdr w:val="none" w:color="auto" w:sz="0" w:space="0"/>
              </w:rPr>
              <w:t>2.没有现成信息需要另行制作</w:t>
            </w:r>
          </w:p>
        </w:tc>
        <w:tc>
          <w:tcPr>
            <w:tcW w:w="8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3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4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70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9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仿宋_GB2312" w:eastAsia="仿宋_GB2312" w:cs="仿宋_GB2312"/>
                <w:sz w:val="21"/>
                <w:szCs w:val="21"/>
                <w:bdr w:val="none" w:color="auto" w:sz="0" w:space="0"/>
              </w:rPr>
              <w:t>3.补正后申请内容仍不明确</w:t>
            </w:r>
          </w:p>
        </w:tc>
        <w:tc>
          <w:tcPr>
            <w:tcW w:w="8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3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4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701"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ind w:left="-107"/>
            </w:pPr>
            <w:r>
              <w:rPr>
                <w:rFonts w:hint="eastAsia" w:ascii="黑体" w:hAnsi="宋体" w:eastAsia="黑体" w:cs="黑体"/>
                <w:sz w:val="21"/>
                <w:szCs w:val="21"/>
              </w:rPr>
              <w:t>（五）不予处理</w:t>
            </w:r>
          </w:p>
        </w:tc>
        <w:tc>
          <w:tcPr>
            <w:tcW w:w="29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仿宋_GB2312" w:eastAsia="仿宋_GB2312" w:cs="仿宋_GB2312"/>
                <w:sz w:val="21"/>
                <w:szCs w:val="21"/>
                <w:bdr w:val="none" w:color="auto" w:sz="0" w:space="0"/>
              </w:rPr>
              <w:t>1.信访举报投诉类申请</w:t>
            </w:r>
          </w:p>
        </w:tc>
        <w:tc>
          <w:tcPr>
            <w:tcW w:w="8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3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4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70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9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仿宋_GB2312" w:eastAsia="仿宋_GB2312" w:cs="仿宋_GB2312"/>
                <w:sz w:val="21"/>
                <w:szCs w:val="21"/>
                <w:bdr w:val="none" w:color="auto" w:sz="0" w:space="0"/>
              </w:rPr>
              <w:t>2.重复申请</w:t>
            </w:r>
          </w:p>
        </w:tc>
        <w:tc>
          <w:tcPr>
            <w:tcW w:w="8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3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4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70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9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仿宋_GB2312" w:eastAsia="仿宋_GB2312" w:cs="仿宋_GB2312"/>
                <w:sz w:val="21"/>
                <w:szCs w:val="21"/>
                <w:bdr w:val="none" w:color="auto" w:sz="0" w:space="0"/>
              </w:rPr>
              <w:t>3.要求提供公开出版物</w:t>
            </w:r>
          </w:p>
        </w:tc>
        <w:tc>
          <w:tcPr>
            <w:tcW w:w="8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3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atLeast"/>
          <w:jc w:val="center"/>
        </w:trPr>
        <w:tc>
          <w:tcPr>
            <w:tcW w:w="4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70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9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default" w:ascii="仿宋_GB2312" w:eastAsia="仿宋_GB2312" w:cs="仿宋_GB2312"/>
                <w:sz w:val="21"/>
                <w:szCs w:val="21"/>
                <w:bdr w:val="none" w:color="auto" w:sz="0" w:space="0"/>
              </w:rPr>
              <w:t>4.无正当理由大量反复申请</w:t>
            </w:r>
          </w:p>
        </w:tc>
        <w:tc>
          <w:tcPr>
            <w:tcW w:w="8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3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70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9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300" w:lineRule="atLeast"/>
            </w:pPr>
            <w:r>
              <w:rPr>
                <w:rFonts w:hint="default" w:ascii="仿宋_GB2312" w:eastAsia="仿宋_GB2312" w:cs="仿宋_GB2312"/>
                <w:sz w:val="21"/>
                <w:szCs w:val="21"/>
                <w:bdr w:val="none" w:color="auto" w:sz="0" w:space="0"/>
              </w:rPr>
              <w:t>5.要求行政机关确认或重新</w:t>
            </w:r>
          </w:p>
          <w:p>
            <w:pPr>
              <w:pStyle w:val="2"/>
              <w:keepNext w:val="0"/>
              <w:keepLines w:val="0"/>
              <w:widowControl/>
              <w:suppressLineNumbers w:val="0"/>
              <w:spacing w:line="300" w:lineRule="atLeast"/>
              <w:ind w:left="0" w:firstLine="210"/>
            </w:pPr>
            <w:r>
              <w:rPr>
                <w:rFonts w:hint="default" w:ascii="仿宋_GB2312" w:eastAsia="仿宋_GB2312" w:cs="仿宋_GB2312"/>
                <w:sz w:val="21"/>
                <w:szCs w:val="21"/>
              </w:rPr>
              <w:t>出具已获取信息</w:t>
            </w:r>
          </w:p>
        </w:tc>
        <w:tc>
          <w:tcPr>
            <w:tcW w:w="8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3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701"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300" w:lineRule="atLeast"/>
            </w:pPr>
            <w:r>
              <w:rPr>
                <w:rFonts w:hint="eastAsia" w:ascii="黑体" w:hAnsi="宋体" w:eastAsia="黑体" w:cs="黑体"/>
                <w:sz w:val="21"/>
                <w:szCs w:val="21"/>
                <w:bdr w:val="none" w:color="auto" w:sz="0" w:space="0"/>
              </w:rPr>
              <w:t>（六）其他处理</w:t>
            </w:r>
          </w:p>
        </w:tc>
        <w:tc>
          <w:tcPr>
            <w:tcW w:w="297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line="300" w:lineRule="atLeast"/>
            </w:pPr>
            <w:r>
              <w:rPr>
                <w:rFonts w:hint="default" w:ascii="仿宋_GB2312" w:eastAsia="仿宋_GB2312" w:cs="仿宋_GB2312"/>
                <w:sz w:val="21"/>
                <w:szCs w:val="21"/>
                <w:bdr w:val="none" w:color="auto" w:sz="0" w:space="0"/>
              </w:rPr>
              <w:t>1.申请人无正当理由逾期不补正、行政机关不再处理其政府信息公开申请</w:t>
            </w:r>
          </w:p>
        </w:tc>
        <w:tc>
          <w:tcPr>
            <w:tcW w:w="8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3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70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97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line="300" w:lineRule="atLeast"/>
            </w:pPr>
            <w:r>
              <w:rPr>
                <w:rFonts w:hint="default" w:ascii="仿宋_GB2312" w:eastAsia="仿宋_GB2312" w:cs="仿宋_GB2312"/>
                <w:sz w:val="21"/>
                <w:szCs w:val="21"/>
                <w:bdr w:val="none" w:color="auto" w:sz="0" w:space="0"/>
              </w:rPr>
              <w:t>2.申请人逾期未按收费通知要求缴纳费用、行政机关不再处理其政府信息公开申请</w:t>
            </w:r>
          </w:p>
        </w:tc>
        <w:tc>
          <w:tcPr>
            <w:tcW w:w="8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3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70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97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line="300" w:lineRule="atLeast"/>
            </w:pPr>
            <w:r>
              <w:rPr>
                <w:rFonts w:hint="default" w:ascii="仿宋_GB2312" w:eastAsia="仿宋_GB2312" w:cs="仿宋_GB2312"/>
                <w:sz w:val="21"/>
                <w:szCs w:val="21"/>
                <w:bdr w:val="none" w:color="auto" w:sz="0" w:space="0"/>
              </w:rPr>
              <w:t>3.其他</w:t>
            </w:r>
          </w:p>
        </w:tc>
        <w:tc>
          <w:tcPr>
            <w:tcW w:w="8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3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67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300" w:lineRule="atLeast"/>
            </w:pPr>
            <w:r>
              <w:rPr>
                <w:rFonts w:hint="eastAsia" w:ascii="黑体" w:hAnsi="宋体" w:eastAsia="黑体" w:cs="黑体"/>
                <w:sz w:val="21"/>
                <w:szCs w:val="21"/>
                <w:bdr w:val="none" w:color="auto" w:sz="0" w:space="0"/>
              </w:rPr>
              <w:t>（七）总计</w:t>
            </w:r>
          </w:p>
        </w:tc>
        <w:tc>
          <w:tcPr>
            <w:tcW w:w="8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14</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2</w:t>
            </w:r>
          </w:p>
        </w:tc>
        <w:tc>
          <w:tcPr>
            <w:tcW w:w="73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3</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19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093"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300" w:lineRule="atLeast"/>
            </w:pPr>
            <w:r>
              <w:rPr>
                <w:rFonts w:hint="eastAsia" w:ascii="黑体" w:hAnsi="宋体" w:eastAsia="黑体" w:cs="黑体"/>
                <w:sz w:val="21"/>
                <w:szCs w:val="21"/>
                <w:bdr w:val="none" w:color="auto" w:sz="0" w:space="0"/>
              </w:rPr>
              <w:t>四、结转下年度继续办理</w:t>
            </w:r>
          </w:p>
        </w:tc>
        <w:tc>
          <w:tcPr>
            <w:tcW w:w="8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3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pPr>
      <w:r>
        <w:rPr>
          <w:rFonts w:hint="eastAsia" w:ascii="黑体" w:hAnsi="宋体" w:eastAsia="黑体" w:cs="黑体"/>
          <w:caps w:val="0"/>
          <w:color w:val="333333"/>
          <w:spacing w:val="0"/>
          <w:sz w:val="32"/>
          <w:szCs w:val="32"/>
          <w:bdr w:val="none" w:color="auto" w:sz="0" w:space="0"/>
          <w:shd w:val="clear" w:fill="FFFFFF"/>
        </w:rPr>
        <w:t>四．政府信息公开行政复议、行政诉讼情况</w:t>
      </w: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黑体" w:hAnsi="宋体" w:eastAsia="黑体" w:cs="黑体"/>
                <w:sz w:val="20"/>
                <w:szCs w:val="20"/>
                <w:bdr w:val="none" w:color="auto" w:sz="0" w:space="0"/>
              </w:rPr>
              <w:t>行政复议</w:t>
            </w:r>
          </w:p>
        </w:tc>
        <w:tc>
          <w:tcPr>
            <w:tcW w:w="5997" w:type="dxa"/>
            <w:gridSpan w:val="10"/>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黑体" w:hAnsi="宋体" w:eastAsia="黑体" w:cs="黑体"/>
                <w:sz w:val="20"/>
                <w:szCs w:val="20"/>
                <w:bdr w:val="none" w:color="auto" w:sz="0" w:space="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ind w:left="-149" w:right="-170"/>
              <w:jc w:val="center"/>
            </w:pPr>
            <w:r>
              <w:rPr>
                <w:rFonts w:hint="eastAsia" w:ascii="黑体" w:hAnsi="宋体" w:eastAsia="黑体" w:cs="黑体"/>
                <w:sz w:val="20"/>
                <w:szCs w:val="20"/>
              </w:rPr>
              <w:t>结果</w:t>
            </w:r>
          </w:p>
          <w:p>
            <w:pPr>
              <w:pStyle w:val="2"/>
              <w:keepNext w:val="0"/>
              <w:keepLines w:val="0"/>
              <w:widowControl/>
              <w:suppressLineNumbers w:val="0"/>
              <w:ind w:left="-149" w:right="-170"/>
              <w:jc w:val="center"/>
            </w:pPr>
            <w:r>
              <w:rPr>
                <w:rFonts w:hint="eastAsia" w:ascii="黑体" w:hAnsi="宋体" w:eastAsia="黑体" w:cs="黑体"/>
                <w:sz w:val="20"/>
                <w:szCs w:val="20"/>
              </w:rPr>
              <w:t>维持</w:t>
            </w:r>
          </w:p>
        </w:tc>
        <w:tc>
          <w:tcPr>
            <w:tcW w:w="604"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ind w:left="-43" w:right="-132" w:hanging="1"/>
              <w:jc w:val="center"/>
            </w:pPr>
            <w:r>
              <w:rPr>
                <w:rFonts w:hint="eastAsia" w:ascii="黑体" w:hAnsi="宋体" w:eastAsia="黑体" w:cs="黑体"/>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ind w:left="-82" w:right="-97"/>
              <w:jc w:val="center"/>
            </w:pPr>
            <w:r>
              <w:rPr>
                <w:rFonts w:hint="eastAsia" w:ascii="黑体" w:hAnsi="宋体" w:eastAsia="黑体" w:cs="黑体"/>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ind w:left="-118" w:right="-118"/>
              <w:jc w:val="center"/>
            </w:pPr>
            <w:r>
              <w:rPr>
                <w:rFonts w:hint="eastAsia" w:ascii="黑体" w:hAnsi="宋体" w:eastAsia="黑体" w:cs="黑体"/>
                <w:sz w:val="20"/>
                <w:szCs w:val="20"/>
              </w:rPr>
              <w:t>尚未</w:t>
            </w:r>
          </w:p>
          <w:p>
            <w:pPr>
              <w:pStyle w:val="2"/>
              <w:keepNext w:val="0"/>
              <w:keepLines w:val="0"/>
              <w:widowControl/>
              <w:suppressLineNumbers w:val="0"/>
              <w:ind w:left="-118" w:right="-118"/>
              <w:jc w:val="center"/>
            </w:pPr>
            <w:r>
              <w:rPr>
                <w:rFonts w:hint="eastAsia" w:ascii="黑体" w:hAnsi="宋体" w:eastAsia="黑体" w:cs="黑体"/>
                <w:sz w:val="20"/>
                <w:szCs w:val="20"/>
              </w:rPr>
              <w:t>审结</w:t>
            </w:r>
          </w:p>
        </w:tc>
        <w:tc>
          <w:tcPr>
            <w:tcW w:w="658"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320" w:lineRule="atLeast"/>
              <w:jc w:val="center"/>
            </w:pPr>
            <w:r>
              <w:rPr>
                <w:rFonts w:hint="eastAsia" w:ascii="黑体" w:hAnsi="宋体" w:eastAsia="黑体" w:cs="黑体"/>
                <w:sz w:val="20"/>
                <w:szCs w:val="20"/>
                <w:bdr w:val="none" w:color="auto" w:sz="0" w:space="0"/>
              </w:rPr>
              <w:t>总</w:t>
            </w:r>
          </w:p>
          <w:p>
            <w:pPr>
              <w:pStyle w:val="2"/>
              <w:keepNext w:val="0"/>
              <w:keepLines w:val="0"/>
              <w:widowControl/>
              <w:suppressLineNumbers w:val="0"/>
              <w:spacing w:line="320" w:lineRule="atLeast"/>
              <w:jc w:val="center"/>
            </w:pPr>
            <w:r>
              <w:rPr>
                <w:rFonts w:hint="eastAsia" w:ascii="黑体" w:hAnsi="宋体" w:eastAsia="黑体" w:cs="黑体"/>
                <w:sz w:val="20"/>
                <w:szCs w:val="20"/>
                <w:bdr w:val="none" w:color="auto" w:sz="0" w:space="0"/>
              </w:rPr>
              <w:t>计</w:t>
            </w:r>
          </w:p>
        </w:tc>
        <w:tc>
          <w:tcPr>
            <w:tcW w:w="2970"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黑体" w:hAnsi="宋体" w:eastAsia="黑体" w:cs="黑体"/>
                <w:sz w:val="20"/>
                <w:szCs w:val="20"/>
                <w:bdr w:val="none" w:color="auto" w:sz="0" w:space="0"/>
              </w:rPr>
              <w:t>未经复议直接起诉</w:t>
            </w:r>
          </w:p>
        </w:tc>
        <w:tc>
          <w:tcPr>
            <w:tcW w:w="3027"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黑体" w:hAnsi="宋体" w:eastAsia="黑体" w:cs="黑体"/>
                <w:sz w:val="20"/>
                <w:szCs w:val="20"/>
                <w:bdr w:val="none" w:color="auto" w:sz="0" w:space="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5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ind w:left="-105" w:right="-126"/>
              <w:jc w:val="center"/>
            </w:pPr>
            <w:r>
              <w:rPr>
                <w:rFonts w:hint="eastAsia" w:ascii="黑体" w:hAnsi="宋体" w:eastAsia="黑体" w:cs="黑体"/>
                <w:sz w:val="20"/>
                <w:szCs w:val="20"/>
              </w:rPr>
              <w:t>结果维持</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ind w:left="-86" w:right="-88"/>
              <w:jc w:val="center"/>
            </w:pPr>
            <w:r>
              <w:rPr>
                <w:rFonts w:hint="eastAsia" w:ascii="黑体" w:hAnsi="宋体" w:eastAsia="黑体" w:cs="黑体"/>
                <w:sz w:val="20"/>
                <w:szCs w:val="20"/>
              </w:rPr>
              <w:t>结果纠正</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ind w:left="-126" w:right="-136"/>
              <w:jc w:val="center"/>
            </w:pPr>
            <w:r>
              <w:rPr>
                <w:rFonts w:hint="eastAsia" w:ascii="黑体" w:hAnsi="宋体" w:eastAsia="黑体" w:cs="黑体"/>
                <w:sz w:val="20"/>
                <w:szCs w:val="20"/>
              </w:rPr>
              <w:t>其他</w:t>
            </w:r>
          </w:p>
          <w:p>
            <w:pPr>
              <w:pStyle w:val="2"/>
              <w:keepNext w:val="0"/>
              <w:keepLines w:val="0"/>
              <w:widowControl/>
              <w:suppressLineNumbers w:val="0"/>
              <w:ind w:left="-126" w:right="-136"/>
              <w:jc w:val="center"/>
            </w:pPr>
            <w:r>
              <w:rPr>
                <w:rFonts w:hint="eastAsia" w:ascii="黑体" w:hAnsi="宋体" w:eastAsia="黑体" w:cs="黑体"/>
                <w:sz w:val="20"/>
                <w:szCs w:val="20"/>
              </w:rPr>
              <w:t>结果</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ind w:left="-164" w:right="-153"/>
              <w:jc w:val="center"/>
            </w:pPr>
            <w:r>
              <w:rPr>
                <w:rFonts w:hint="eastAsia" w:ascii="黑体" w:hAnsi="宋体" w:eastAsia="黑体" w:cs="黑体"/>
                <w:sz w:val="20"/>
                <w:szCs w:val="20"/>
              </w:rPr>
              <w:t>尚未</w:t>
            </w:r>
          </w:p>
          <w:p>
            <w:pPr>
              <w:pStyle w:val="2"/>
              <w:keepNext w:val="0"/>
              <w:keepLines w:val="0"/>
              <w:widowControl/>
              <w:suppressLineNumbers w:val="0"/>
              <w:ind w:left="-164" w:right="-153"/>
              <w:jc w:val="center"/>
            </w:pPr>
            <w:r>
              <w:rPr>
                <w:rFonts w:hint="eastAsia" w:ascii="黑体" w:hAnsi="宋体" w:eastAsia="黑体" w:cs="黑体"/>
                <w:sz w:val="20"/>
                <w:szCs w:val="20"/>
              </w:rPr>
              <w:t>审结</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黑体" w:hAnsi="宋体" w:eastAsia="黑体" w:cs="黑体"/>
                <w:sz w:val="20"/>
                <w:szCs w:val="20"/>
                <w:bdr w:val="none" w:color="auto" w:sz="0" w:space="0"/>
              </w:rPr>
              <w:t>总计</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ind w:left="-99" w:right="-78"/>
              <w:jc w:val="center"/>
            </w:pPr>
            <w:r>
              <w:rPr>
                <w:rFonts w:hint="eastAsia" w:ascii="黑体" w:hAnsi="宋体" w:eastAsia="黑体" w:cs="黑体"/>
                <w:sz w:val="20"/>
                <w:szCs w:val="20"/>
              </w:rPr>
              <w:t>结果维持</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ind w:left="-136" w:right="-124"/>
              <w:jc w:val="center"/>
            </w:pPr>
            <w:r>
              <w:rPr>
                <w:rFonts w:hint="eastAsia" w:ascii="黑体" w:hAnsi="宋体" w:eastAsia="黑体" w:cs="黑体"/>
                <w:sz w:val="20"/>
                <w:szCs w:val="20"/>
              </w:rPr>
              <w:t>结果</w:t>
            </w:r>
          </w:p>
          <w:p>
            <w:pPr>
              <w:pStyle w:val="2"/>
              <w:keepNext w:val="0"/>
              <w:keepLines w:val="0"/>
              <w:widowControl/>
              <w:suppressLineNumbers w:val="0"/>
              <w:ind w:left="-136" w:right="-124"/>
              <w:jc w:val="center"/>
            </w:pPr>
            <w:r>
              <w:rPr>
                <w:rFonts w:hint="eastAsia" w:ascii="黑体" w:hAnsi="宋体" w:eastAsia="黑体" w:cs="黑体"/>
                <w:sz w:val="20"/>
                <w:szCs w:val="20"/>
              </w:rPr>
              <w:t>纠正</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ind w:left="-173" w:right="-134" w:hanging="1"/>
              <w:jc w:val="center"/>
            </w:pPr>
            <w:r>
              <w:rPr>
                <w:rFonts w:hint="eastAsia" w:ascii="黑体" w:hAnsi="宋体" w:eastAsia="黑体" w:cs="黑体"/>
                <w:sz w:val="20"/>
                <w:szCs w:val="20"/>
              </w:rPr>
              <w:t>其他</w:t>
            </w:r>
          </w:p>
          <w:p>
            <w:pPr>
              <w:pStyle w:val="2"/>
              <w:keepNext w:val="0"/>
              <w:keepLines w:val="0"/>
              <w:widowControl/>
              <w:suppressLineNumbers w:val="0"/>
              <w:ind w:left="-173" w:right="-134" w:hanging="1"/>
              <w:jc w:val="center"/>
            </w:pPr>
            <w:r>
              <w:rPr>
                <w:rFonts w:hint="eastAsia" w:ascii="黑体" w:hAnsi="宋体" w:eastAsia="黑体" w:cs="黑体"/>
                <w:sz w:val="20"/>
                <w:szCs w:val="20"/>
              </w:rPr>
              <w:t>结果</w:t>
            </w:r>
          </w:p>
        </w:tc>
        <w:tc>
          <w:tcPr>
            <w:tcW w:w="60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ind w:left="-67" w:right="-105" w:hanging="2"/>
              <w:jc w:val="center"/>
            </w:pPr>
            <w:r>
              <w:rPr>
                <w:rFonts w:hint="eastAsia" w:ascii="黑体" w:hAnsi="宋体" w:eastAsia="黑体" w:cs="黑体"/>
                <w:sz w:val="20"/>
                <w:szCs w:val="20"/>
              </w:rPr>
              <w:t>尚未审结</w:t>
            </w:r>
          </w:p>
        </w:tc>
        <w:tc>
          <w:tcPr>
            <w:tcW w:w="60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黑体" w:hAnsi="宋体" w:eastAsia="黑体" w:cs="黑体"/>
                <w:sz w:val="20"/>
                <w:szCs w:val="20"/>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0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6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6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6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6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5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6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仿宋_GB2312" w:eastAsia="仿宋_GB2312" w:cs="仿宋_GB2312"/>
                <w:sz w:val="21"/>
                <w:szCs w:val="21"/>
                <w:bdr w:val="none" w:color="auto" w:sz="0" w:space="0"/>
              </w:rPr>
              <w:t>0</w:t>
            </w:r>
          </w:p>
        </w:tc>
        <w:tc>
          <w:tcPr>
            <w:tcW w:w="6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after="180" w:afterAutospacing="0"/>
              <w:jc w:val="center"/>
            </w:pPr>
            <w:r>
              <w:rPr>
                <w:rFonts w:hint="default" w:ascii="Times New Roman" w:hAnsi="Times New Roman" w:cs="Times New Roman"/>
                <w:sz w:val="21"/>
                <w:szCs w:val="21"/>
                <w:bdr w:val="none" w:color="auto" w:sz="0" w:space="0"/>
              </w:rPr>
              <w:t>0</w:t>
            </w:r>
          </w:p>
        </w:tc>
      </w:tr>
    </w:tbl>
    <w:p>
      <w:pPr>
        <w:pStyle w:val="2"/>
        <w:keepNext w:val="0"/>
        <w:keepLines w:val="0"/>
        <w:widowControl/>
        <w:suppressLineNumbers w:val="0"/>
        <w:jc w:val="left"/>
      </w:pPr>
      <w:r>
        <w:rPr>
          <w:rFonts w:hint="default" w:ascii="仿宋_GB2312" w:eastAsia="仿宋_GB2312" w:cs="仿宋_GB2312"/>
          <w:color w:val="FF000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60" w:lineRule="atLeast"/>
        <w:ind w:left="0" w:right="0" w:firstLine="640"/>
        <w:jc w:val="both"/>
      </w:pPr>
      <w:r>
        <w:rPr>
          <w:rFonts w:hint="eastAsia" w:ascii="黑体" w:hAnsi="宋体" w:eastAsia="黑体" w:cs="黑体"/>
          <w:caps w:val="0"/>
          <w:color w:val="333333"/>
          <w:spacing w:val="0"/>
          <w:sz w:val="32"/>
          <w:szCs w:val="32"/>
          <w:bdr w:val="none" w:color="auto" w:sz="0" w:space="0"/>
          <w:shd w:val="clear" w:fill="FFFFFF"/>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60" w:lineRule="atLeast"/>
        <w:ind w:left="0" w:right="0" w:firstLine="634"/>
      </w:pPr>
      <w:r>
        <w:rPr>
          <w:rFonts w:hint="default" w:ascii="Times New Roman" w:hAnsi="Times New Roman" w:cs="Times New Roman"/>
          <w:sz w:val="32"/>
          <w:szCs w:val="32"/>
          <w:bdr w:val="none" w:color="auto" w:sz="0" w:space="0"/>
          <w:shd w:val="clear" w:fill="FFFFFF"/>
        </w:rPr>
        <w:t>202</w:t>
      </w:r>
      <w:r>
        <w:rPr>
          <w:rFonts w:hint="default" w:ascii="Times New Roman" w:hAnsi="Times New Roman" w:eastAsia="仿宋_GB2312" w:cs="Times New Roman"/>
          <w:sz w:val="32"/>
          <w:szCs w:val="32"/>
          <w:bdr w:val="none" w:color="auto" w:sz="0" w:space="0"/>
          <w:shd w:val="clear" w:fill="FFFFFF"/>
        </w:rPr>
        <w:t>2</w:t>
      </w:r>
      <w:r>
        <w:rPr>
          <w:rFonts w:hint="default" w:ascii="仿宋_GB2312" w:eastAsia="仿宋_GB2312" w:cs="仿宋_GB2312"/>
          <w:caps w:val="0"/>
          <w:spacing w:val="0"/>
          <w:sz w:val="32"/>
          <w:szCs w:val="32"/>
          <w:bdr w:val="none" w:color="auto" w:sz="0" w:space="0"/>
          <w:shd w:val="clear" w:fill="FFFFFF"/>
        </w:rPr>
        <w:t>年淄博市生态环境局认真落实政务公开工作要点，聚焦生态环保重点工作，不断强化公开意识、健全管理机制，政务公开工作取得积极成效，但面对新形势、新任务、新要求还存在一定差距。一是从事政务公开工作人员专业性不足，2022年以来，我局不断加强政务公开业务培训工作，多次邀请政务公开方面有关专家前来授课，进一步学习《中华人民共和国政府信息公开条例》，使全局系统政务公开水平得到较大提升；二是重大政策文件解读力度还需进一步提高，2022年以来，我局在做好政府信息公开工作基础上，进一步强化对重要生态环境政策文件制定背景、实施范围、重点内容、法律依据和制定过程等全方位公开解读，丰富解读形式、内容，充分利用领导解读、专家解读、媒体解读等多角度解读方式，真正实现让人民群众“听得懂”“信得过”；三是基层生态环境部门政务公开还需进一步规范，2022年以来，依据《2022年淄博市政务公开工作要点》结合我局工作实际制定了《淄博市生态环境局政务公开工作实施方案》，不断完善政务信息公开制度；利用好新媒体平台，不断丰富公开渠道、积极回应公众关切，使基层政府信息公开工作不断深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60" w:lineRule="atLeast"/>
        <w:ind w:left="0" w:right="0" w:firstLine="640"/>
        <w:jc w:val="both"/>
      </w:pPr>
      <w:r>
        <w:rPr>
          <w:rFonts w:hint="eastAsia" w:ascii="黑体" w:hAnsi="宋体" w:eastAsia="黑体" w:cs="黑体"/>
          <w:caps w:val="0"/>
          <w:color w:val="333333"/>
          <w:spacing w:val="0"/>
          <w:sz w:val="32"/>
          <w:szCs w:val="32"/>
          <w:bdr w:val="none" w:color="auto" w:sz="0" w:space="0"/>
          <w:shd w:val="clear" w:fill="FFFFFF"/>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60" w:lineRule="atLeast"/>
        <w:ind w:left="0" w:right="0" w:firstLine="640"/>
        <w:jc w:val="both"/>
      </w:pPr>
      <w:r>
        <w:rPr>
          <w:rFonts w:hint="default" w:ascii="仿宋_GB2312" w:eastAsia="仿宋_GB2312" w:cs="仿宋_GB2312"/>
          <w:caps w:val="0"/>
          <w:spacing w:val="0"/>
          <w:sz w:val="32"/>
          <w:szCs w:val="32"/>
          <w:bdr w:val="none" w:color="auto" w:sz="0" w:space="0"/>
          <w:shd w:val="clear" w:fill="FFFFFF"/>
        </w:rPr>
        <w:t>（一）2022年，我局未收取政府信息公开处理费。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0" w:right="0" w:firstLine="640"/>
        <w:jc w:val="both"/>
      </w:pPr>
      <w:r>
        <w:rPr>
          <w:rFonts w:hint="default" w:ascii="仿宋_GB2312" w:eastAsia="仿宋_GB2312" w:cs="仿宋_GB2312"/>
          <w:caps w:val="0"/>
          <w:spacing w:val="0"/>
          <w:sz w:val="32"/>
          <w:szCs w:val="32"/>
          <w:bdr w:val="none" w:color="auto" w:sz="0" w:space="0"/>
          <w:shd w:val="clear" w:fill="FFFFFF"/>
        </w:rPr>
        <w:t>（二）2022年，</w:t>
      </w:r>
      <w:r>
        <w:rPr>
          <w:rFonts w:hint="default" w:ascii="仿宋_GB2312" w:hAnsi="Times New Roman" w:eastAsia="仿宋_GB2312" w:cs="仿宋_GB2312"/>
          <w:sz w:val="32"/>
          <w:szCs w:val="32"/>
          <w:bdr w:val="none" w:color="auto" w:sz="0" w:space="0"/>
        </w:rPr>
        <w:t>我局承办的人大代表建议</w:t>
      </w:r>
      <w:r>
        <w:rPr>
          <w:rFonts w:hint="default" w:ascii="Times New Roman" w:hAnsi="Times New Roman" w:cs="Times New Roman"/>
          <w:sz w:val="32"/>
          <w:szCs w:val="32"/>
          <w:bdr w:val="none" w:color="auto" w:sz="0" w:space="0"/>
        </w:rPr>
        <w:t>5</w:t>
      </w:r>
      <w:r>
        <w:rPr>
          <w:rFonts w:hint="default" w:ascii="仿宋_GB2312" w:hAnsi="Times New Roman" w:eastAsia="仿宋_GB2312" w:cs="仿宋_GB2312"/>
          <w:sz w:val="32"/>
          <w:szCs w:val="32"/>
          <w:bdr w:val="none" w:color="auto" w:sz="0" w:space="0"/>
        </w:rPr>
        <w:t>件，其中独办件</w:t>
      </w:r>
      <w:r>
        <w:rPr>
          <w:rFonts w:hint="default" w:ascii="Times New Roman" w:hAnsi="Times New Roman" w:cs="Times New Roman"/>
          <w:sz w:val="32"/>
          <w:szCs w:val="32"/>
          <w:bdr w:val="none" w:color="auto" w:sz="0" w:space="0"/>
        </w:rPr>
        <w:t>1</w:t>
      </w:r>
      <w:r>
        <w:rPr>
          <w:rFonts w:hint="default" w:ascii="仿宋_GB2312" w:hAnsi="Times New Roman" w:eastAsia="仿宋_GB2312" w:cs="仿宋_GB2312"/>
          <w:sz w:val="32"/>
          <w:szCs w:val="32"/>
          <w:bdr w:val="none" w:color="auto" w:sz="0" w:space="0"/>
        </w:rPr>
        <w:t>件，主办件</w:t>
      </w:r>
      <w:r>
        <w:rPr>
          <w:rFonts w:hint="default" w:ascii="Times New Roman" w:hAnsi="Times New Roman" w:cs="Times New Roman"/>
          <w:sz w:val="32"/>
          <w:szCs w:val="32"/>
          <w:bdr w:val="none" w:color="auto" w:sz="0" w:space="0"/>
        </w:rPr>
        <w:t>1</w:t>
      </w:r>
      <w:r>
        <w:rPr>
          <w:rFonts w:hint="default" w:ascii="仿宋_GB2312" w:hAnsi="Times New Roman" w:eastAsia="仿宋_GB2312" w:cs="仿宋_GB2312"/>
          <w:sz w:val="32"/>
          <w:szCs w:val="32"/>
          <w:bdr w:val="none" w:color="auto" w:sz="0" w:space="0"/>
        </w:rPr>
        <w:t>件，分办件</w:t>
      </w:r>
      <w:r>
        <w:rPr>
          <w:rFonts w:hint="default" w:ascii="Times New Roman" w:hAnsi="Times New Roman" w:cs="Times New Roman"/>
          <w:sz w:val="32"/>
          <w:szCs w:val="32"/>
          <w:bdr w:val="none" w:color="auto" w:sz="0" w:space="0"/>
        </w:rPr>
        <w:t>1</w:t>
      </w:r>
      <w:r>
        <w:rPr>
          <w:rFonts w:hint="default" w:ascii="仿宋_GB2312" w:hAnsi="Times New Roman" w:eastAsia="仿宋_GB2312" w:cs="仿宋_GB2312"/>
          <w:sz w:val="32"/>
          <w:szCs w:val="32"/>
          <w:bdr w:val="none" w:color="auto" w:sz="0" w:space="0"/>
        </w:rPr>
        <w:t>件，协办件</w:t>
      </w:r>
      <w:r>
        <w:rPr>
          <w:rFonts w:hint="default" w:ascii="Times New Roman" w:hAnsi="Times New Roman" w:cs="Times New Roman"/>
          <w:sz w:val="32"/>
          <w:szCs w:val="32"/>
          <w:bdr w:val="none" w:color="auto" w:sz="0" w:space="0"/>
        </w:rPr>
        <w:t>2</w:t>
      </w:r>
      <w:r>
        <w:rPr>
          <w:rFonts w:hint="default" w:ascii="仿宋_GB2312" w:hAnsi="Times New Roman" w:eastAsia="仿宋_GB2312" w:cs="仿宋_GB2312"/>
          <w:sz w:val="32"/>
          <w:szCs w:val="32"/>
          <w:bdr w:val="none" w:color="auto" w:sz="0" w:space="0"/>
        </w:rPr>
        <w:t>件；政协委员提案</w:t>
      </w:r>
      <w:r>
        <w:rPr>
          <w:rFonts w:hint="default" w:ascii="Times New Roman" w:hAnsi="Times New Roman" w:cs="Times New Roman"/>
          <w:sz w:val="32"/>
          <w:szCs w:val="32"/>
          <w:bdr w:val="none" w:color="auto" w:sz="0" w:space="0"/>
        </w:rPr>
        <w:t>8</w:t>
      </w:r>
      <w:r>
        <w:rPr>
          <w:rFonts w:hint="default" w:ascii="仿宋_GB2312" w:hAnsi="Times New Roman" w:eastAsia="仿宋_GB2312" w:cs="仿宋_GB2312"/>
          <w:sz w:val="32"/>
          <w:szCs w:val="32"/>
          <w:bdr w:val="none" w:color="auto" w:sz="0" w:space="0"/>
        </w:rPr>
        <w:t>件，其中主办件</w:t>
      </w:r>
      <w:r>
        <w:rPr>
          <w:rFonts w:hint="default" w:ascii="Times New Roman" w:hAnsi="Times New Roman" w:cs="Times New Roman"/>
          <w:sz w:val="32"/>
          <w:szCs w:val="32"/>
          <w:bdr w:val="none" w:color="auto" w:sz="0" w:space="0"/>
        </w:rPr>
        <w:t>6</w:t>
      </w:r>
      <w:r>
        <w:rPr>
          <w:rFonts w:hint="default" w:ascii="仿宋_GB2312" w:hAnsi="Times New Roman" w:eastAsia="仿宋_GB2312" w:cs="仿宋_GB2312"/>
          <w:sz w:val="32"/>
          <w:szCs w:val="32"/>
          <w:bdr w:val="none" w:color="auto" w:sz="0" w:space="0"/>
        </w:rPr>
        <w:t>件，会办件</w:t>
      </w:r>
      <w:r>
        <w:rPr>
          <w:rFonts w:hint="default" w:ascii="Times New Roman" w:hAnsi="Times New Roman" w:cs="Times New Roman"/>
          <w:sz w:val="32"/>
          <w:szCs w:val="32"/>
          <w:bdr w:val="none" w:color="auto" w:sz="0" w:space="0"/>
        </w:rPr>
        <w:t>2</w:t>
      </w:r>
      <w:r>
        <w:rPr>
          <w:rFonts w:hint="default" w:ascii="仿宋_GB2312" w:hAnsi="Times New Roman" w:eastAsia="仿宋_GB2312" w:cs="仿宋_GB2312"/>
          <w:sz w:val="32"/>
          <w:szCs w:val="32"/>
          <w:bdr w:val="none" w:color="auto" w:sz="0" w:space="0"/>
        </w:rPr>
        <w:t>件。共计建议、提案</w:t>
      </w:r>
      <w:r>
        <w:rPr>
          <w:rFonts w:hint="default" w:ascii="Times New Roman" w:hAnsi="Times New Roman" w:cs="Times New Roman"/>
          <w:sz w:val="32"/>
          <w:szCs w:val="32"/>
          <w:bdr w:val="none" w:color="auto" w:sz="0" w:space="0"/>
        </w:rPr>
        <w:t>13</w:t>
      </w:r>
      <w:r>
        <w:rPr>
          <w:rFonts w:hint="default" w:ascii="仿宋_GB2312" w:hAnsi="Times New Roman" w:eastAsia="仿宋_GB2312" w:cs="仿宋_GB2312"/>
          <w:sz w:val="32"/>
          <w:szCs w:val="32"/>
          <w:bdr w:val="none" w:color="auto" w:sz="0" w:space="0"/>
        </w:rPr>
        <w:t>件，已全部按时限要求办理完毕并答</w:t>
      </w:r>
      <w:r>
        <w:rPr>
          <w:rFonts w:hint="default" w:ascii="仿宋_GB2312" w:eastAsia="仿宋_GB2312" w:cs="仿宋_GB2312"/>
          <w:caps w:val="0"/>
          <w:spacing w:val="0"/>
          <w:sz w:val="32"/>
          <w:szCs w:val="32"/>
          <w:bdr w:val="none" w:color="auto" w:sz="0" w:space="0"/>
          <w:shd w:val="clear" w:fill="FFFFFF"/>
        </w:rPr>
        <w:t>复。</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0" w:right="0" w:firstLine="640"/>
        <w:jc w:val="both"/>
      </w:pPr>
      <w:r>
        <w:rPr>
          <w:rFonts w:hint="default" w:ascii="仿宋_GB2312" w:eastAsia="仿宋_GB2312" w:cs="仿宋_GB2312"/>
          <w:caps w:val="0"/>
          <w:spacing w:val="0"/>
          <w:sz w:val="32"/>
          <w:szCs w:val="32"/>
          <w:bdr w:val="none" w:color="auto" w:sz="0" w:space="0"/>
          <w:shd w:val="clear" w:fill="FFFFFF"/>
        </w:rPr>
        <w:t>（三）在本年度政务公开工作创新中，我局依托政府开放日活动，邀请科研机构、企业、社会公众代表参观了空气环境质量监测联网管理平台、水质自动综合监管平台和重点排污单位监管平台等多个生态环境监管系统，让公众零距离了解生态环境工作；通过六五环境日、全国低碳日、国际生物多样性日等主题宣传活动，深入开展生态环境保护政策及主题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0" w:right="0" w:firstLine="640"/>
        <w:jc w:val="both"/>
      </w:pPr>
      <w:r>
        <w:rPr>
          <w:rFonts w:hint="default" w:ascii="仿宋_GB2312" w:eastAsia="仿宋_GB2312" w:cs="仿宋_GB2312"/>
          <w:caps w:val="0"/>
          <w:spacing w:val="0"/>
          <w:sz w:val="32"/>
          <w:szCs w:val="32"/>
          <w:bdr w:val="none" w:color="auto" w:sz="0" w:space="0"/>
          <w:shd w:val="clear" w:fill="FFFFFF"/>
        </w:rPr>
        <w:t>（四）根据2022年淄博市政务公开工作要点的安排部署，结合我局实际情况，制定了《淄博市生态环境局局政务公开工作实施方案》，进一步规范了机关各科室、局属各单位政务信息公开工作责任分工。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hYjFjZWYyNDk1Y2NjMzZjMDM2NDE1NTY5ZDgyZDIifQ=="/>
  </w:docVars>
  <w:rsids>
    <w:rsidRoot w:val="54723789"/>
    <w:rsid w:val="54723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2023-01-31T09:05:00Z</dcterms:created>
  <dc:creator>Kerwin</dc:creator>
  <cp:lastModifiedBy>Kerwin</cp:lastModifiedBy>
  <dcterms:modified xsi:type="dcterms:W3CDTF">2023-01-31T09:07:25Z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5B95D4C90E4243CBA13DD709E1593964</vt:lpwstr>
  </property>
</Properties>
</file>