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AD" w:rsidRPr="000E4FAD" w:rsidRDefault="000E4FAD" w:rsidP="000E4FAD">
      <w:pPr>
        <w:spacing w:line="46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0E4FAD" w:rsidRPr="000E4FAD" w:rsidRDefault="000E4FAD" w:rsidP="000E4FAD">
      <w:pPr>
        <w:spacing w:line="460" w:lineRule="exact"/>
        <w:jc w:val="center"/>
        <w:rPr>
          <w:rFonts w:ascii="仿宋" w:eastAsia="仿宋" w:hAnsi="仿宋" w:cs="Times New Roman" w:hint="eastAsia"/>
          <w:sz w:val="36"/>
          <w:szCs w:val="36"/>
        </w:rPr>
      </w:pPr>
    </w:p>
    <w:p w:rsidR="000E4FAD" w:rsidRPr="000E4FAD" w:rsidRDefault="000E4FAD" w:rsidP="000E4FAD">
      <w:pPr>
        <w:spacing w:line="460" w:lineRule="exact"/>
        <w:jc w:val="center"/>
        <w:rPr>
          <w:rFonts w:ascii="仿宋" w:eastAsia="仿宋" w:hAnsi="仿宋" w:cs="Times New Roman" w:hint="eastAsia"/>
          <w:sz w:val="36"/>
          <w:szCs w:val="36"/>
        </w:rPr>
      </w:pPr>
    </w:p>
    <w:p w:rsidR="000E4FAD" w:rsidRPr="000E4FAD" w:rsidRDefault="000E4FAD" w:rsidP="000E4FAD">
      <w:pPr>
        <w:spacing w:line="460" w:lineRule="exact"/>
        <w:jc w:val="right"/>
        <w:rPr>
          <w:rFonts w:ascii="仿宋" w:eastAsia="仿宋" w:hAnsi="仿宋" w:cs="Times New Roman" w:hint="eastAsia"/>
          <w:sz w:val="36"/>
          <w:szCs w:val="36"/>
        </w:rPr>
      </w:pPr>
      <w:proofErr w:type="gramStart"/>
      <w:r w:rsidRPr="000E4FAD">
        <w:rPr>
          <w:rFonts w:ascii="仿宋" w:eastAsia="仿宋" w:hAnsi="仿宋" w:cs="Times New Roman" w:hint="eastAsia"/>
          <w:sz w:val="36"/>
          <w:szCs w:val="36"/>
        </w:rPr>
        <w:t>淄环审</w:t>
      </w:r>
      <w:proofErr w:type="gramEnd"/>
      <w:r w:rsidRPr="000E4FAD">
        <w:rPr>
          <w:rFonts w:ascii="仿宋" w:eastAsia="仿宋" w:hAnsi="仿宋" w:cs="Times New Roman" w:hint="eastAsia"/>
          <w:sz w:val="36"/>
          <w:szCs w:val="36"/>
        </w:rPr>
        <w:t>﹝2020﹞</w:t>
      </w:r>
      <w:r>
        <w:rPr>
          <w:rFonts w:ascii="仿宋" w:eastAsia="仿宋" w:hAnsi="仿宋" w:cs="Times New Roman" w:hint="eastAsia"/>
          <w:sz w:val="36"/>
          <w:szCs w:val="36"/>
        </w:rPr>
        <w:t>8</w:t>
      </w:r>
      <w:r w:rsidRPr="000E4FAD">
        <w:rPr>
          <w:rFonts w:ascii="仿宋" w:eastAsia="仿宋" w:hAnsi="仿宋" w:cs="Times New Roman" w:hint="eastAsia"/>
          <w:sz w:val="36"/>
          <w:szCs w:val="36"/>
        </w:rPr>
        <w:t>号</w:t>
      </w:r>
    </w:p>
    <w:p w:rsidR="000E4FAD" w:rsidRPr="000E4FAD" w:rsidRDefault="000E4FAD" w:rsidP="000E4FAD">
      <w:pPr>
        <w:spacing w:line="460" w:lineRule="exact"/>
        <w:jc w:val="right"/>
        <w:rPr>
          <w:rFonts w:ascii="方正小标宋简体" w:eastAsia="方正小标宋简体" w:hAnsi="Calibri" w:cs="Times New Roman" w:hint="eastAsia"/>
          <w:sz w:val="36"/>
          <w:szCs w:val="36"/>
        </w:rPr>
      </w:pPr>
    </w:p>
    <w:p w:rsidR="00277C31" w:rsidRDefault="00277C31" w:rsidP="007577DA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2F6F1F">
        <w:rPr>
          <w:rFonts w:ascii="方正小标宋简体" w:eastAsia="方正小标宋简体" w:hint="eastAsia"/>
          <w:sz w:val="36"/>
          <w:szCs w:val="36"/>
        </w:rPr>
        <w:t>关于</w:t>
      </w:r>
      <w:r w:rsidR="007577DA" w:rsidRPr="007577DA">
        <w:rPr>
          <w:rFonts w:ascii="方正小标宋简体" w:eastAsia="方正小标宋简体" w:hint="eastAsia"/>
          <w:sz w:val="36"/>
          <w:szCs w:val="36"/>
        </w:rPr>
        <w:t>山东凯盛新材料股份有限公司4000吨/年2-丙氧基氯乙烷项目</w:t>
      </w:r>
      <w:r w:rsidRPr="002F6F1F">
        <w:rPr>
          <w:rFonts w:ascii="方正小标宋简体" w:eastAsia="方正小标宋简体" w:hint="eastAsia"/>
          <w:sz w:val="36"/>
          <w:szCs w:val="36"/>
        </w:rPr>
        <w:t>环境影响报告书的审批意见</w:t>
      </w:r>
    </w:p>
    <w:p w:rsidR="00277C31" w:rsidRPr="002F6F1F" w:rsidRDefault="00277C31" w:rsidP="007577DA">
      <w:pPr>
        <w:spacing w:line="50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A82593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山东凯盛新材料股份有限公司</w:t>
      </w:r>
      <w:r w:rsidRPr="002F6F1F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：</w:t>
      </w:r>
    </w:p>
    <w:p w:rsidR="00277C31" w:rsidRPr="0051788C" w:rsidRDefault="00277C31" w:rsidP="007577DA">
      <w:pPr>
        <w:pStyle w:val="a5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报来《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山东凯盛新材料股份有限公司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4000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吨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/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年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2-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丙氧基氯乙烷项目</w:t>
      </w:r>
      <w:r w:rsidRPr="0051788C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环境影响报告书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》（</w:t>
      </w:r>
      <w:r w:rsidRPr="0051788C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山东海美侬项目咨询有限公司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编制）收悉。经研究，根据环</w:t>
      </w:r>
      <w:proofErr w:type="gramStart"/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评文件</w:t>
      </w:r>
      <w:proofErr w:type="gramEnd"/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批复如下：</w:t>
      </w:r>
    </w:p>
    <w:p w:rsidR="00277C31" w:rsidRPr="0051788C" w:rsidRDefault="00277C31" w:rsidP="007577DA">
      <w:pPr>
        <w:pStyle w:val="a5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 w:cs="Times New Roman"/>
          <w:bCs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一、项目建设地点位于</w:t>
      </w:r>
      <w:r w:rsidRPr="0061556D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淄博市淄川</w:t>
      </w:r>
      <w:proofErr w:type="gramStart"/>
      <w:r w:rsidRPr="0061556D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区双杨镇</w:t>
      </w:r>
      <w:proofErr w:type="gramEnd"/>
      <w:r w:rsidRPr="0061556D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山东凯盛新材料股份有限公司现有厂区内。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本项目利用原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2-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丙氧基氯乙烷车间生产设备，不再新增，通过更换高效催化剂；优化反应工艺；提高尾气吸收能力，促进反应正向进行；提升装置自动化控制水平等实现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2-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丙氧基氯乙烷扩产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3000t/a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，总设计产能</w:t>
      </w:r>
      <w:r w:rsidR="00460BC8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达到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4000t/a</w:t>
      </w:r>
      <w:r w:rsidR="007577DA" w:rsidRP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。</w:t>
      </w:r>
      <w:r w:rsidRPr="002F6F1F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项目总投资</w:t>
      </w:r>
      <w:r w:rsidR="007577DA"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1</w:t>
      </w:r>
      <w:r w:rsidRPr="00277C31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500</w:t>
      </w:r>
      <w:r w:rsidRPr="002F6F1F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万元</w:t>
      </w:r>
      <w:r>
        <w:rPr>
          <w:rFonts w:ascii="Times New Roman" w:eastAsia="仿宋" w:hAnsi="Times New Roman" w:cs="Times New Roman" w:hint="eastAsia"/>
          <w:bCs/>
          <w:color w:val="333333"/>
          <w:sz w:val="32"/>
          <w:szCs w:val="32"/>
        </w:rPr>
        <w:t>。</w:t>
      </w:r>
    </w:p>
    <w:p w:rsidR="00277C31" w:rsidRPr="0051788C" w:rsidRDefault="00277C31" w:rsidP="007577DA">
      <w:pPr>
        <w:pStyle w:val="a5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 w:cs="Times New Roman"/>
          <w:bCs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根据环评结论，在落实报告书提出的各项污染防治、环境风险防范措施和满足污染物总量控制要求的前提下，从环保角度分析，项目建设可行。同意该项目按申报工艺、规模、地点和污染防治措施等进行建设。</w:t>
      </w:r>
    </w:p>
    <w:p w:rsidR="00277C31" w:rsidRPr="0051788C" w:rsidRDefault="00277C31" w:rsidP="007577DA">
      <w:pPr>
        <w:pStyle w:val="a5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二、项目在设计、建设和运行管理中应重点做好以下工作：</w:t>
      </w:r>
    </w:p>
    <w:p w:rsidR="00277C31" w:rsidRDefault="00277C31" w:rsidP="007577DA">
      <w:pPr>
        <w:pStyle w:val="a5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 w:rsidRPr="00FF498A">
        <w:rPr>
          <w:rFonts w:ascii="Times New Roman" w:eastAsia="仿宋" w:hAnsi="Times New Roman" w:hint="eastAsia"/>
          <w:color w:val="333333"/>
          <w:sz w:val="32"/>
          <w:szCs w:val="32"/>
        </w:rPr>
        <w:t>1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、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严格落实水污染防治措施。做好雨污分流、清污分流、废水分类处理及综合利用工作。按照有关设计规范和技术规定，落实生产装置区、污水管线、</w:t>
      </w:r>
      <w:proofErr w:type="gramStart"/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危废暂存</w:t>
      </w:r>
      <w:proofErr w:type="gramEnd"/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间、事故水池、仓库等区域的防渗措施，防止污染地下水和土壤。</w:t>
      </w:r>
    </w:p>
    <w:p w:rsidR="00277C31" w:rsidRPr="002F6F1F" w:rsidRDefault="00277C31" w:rsidP="007577DA">
      <w:pPr>
        <w:pStyle w:val="a5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lastRenderedPageBreak/>
        <w:t>项目废水主要为循环冷却排污水、生活污水，经厂区污水站处理后排</w:t>
      </w:r>
      <w:proofErr w:type="gramStart"/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入双杨污水处理</w:t>
      </w:r>
      <w:proofErr w:type="gramEnd"/>
      <w:r w:rsidR="00460BC8">
        <w:rPr>
          <w:rFonts w:ascii="Times New Roman" w:eastAsia="仿宋" w:hAnsi="Times New Roman" w:hint="eastAsia"/>
          <w:color w:val="333333"/>
          <w:sz w:val="32"/>
          <w:szCs w:val="32"/>
        </w:rPr>
        <w:t>厂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深度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处理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，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外排废水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须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满足《污水排入城镇下水道水质标准》（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GB/T31962-2015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）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B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等级标准及下游污水处理厂协议标准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要求，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全盐量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须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满足《流域水污染物综合排放标准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 xml:space="preserve"> 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第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3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部分：小清河流域》一般保护区要求（全盐量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1600mg/L</w:t>
      </w: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）。</w:t>
      </w:r>
    </w:p>
    <w:p w:rsidR="007577DA" w:rsidRPr="007577DA" w:rsidRDefault="00277C31" w:rsidP="007577DA">
      <w:pPr>
        <w:pStyle w:val="a5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</w:rPr>
        <w:t>2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、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项目有组织废气主要为反应产生的尾气在液化回收环节产生的</w:t>
      </w:r>
      <w:proofErr w:type="gramStart"/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不</w:t>
      </w:r>
      <w:proofErr w:type="gramEnd"/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凝气和反应后产品蒸馏、精馏过程产生的</w:t>
      </w:r>
      <w:proofErr w:type="gramStart"/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不</w:t>
      </w:r>
      <w:proofErr w:type="gramEnd"/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凝气。</w:t>
      </w:r>
      <w:proofErr w:type="gramStart"/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不</w:t>
      </w:r>
      <w:proofErr w:type="gramEnd"/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凝</w:t>
      </w:r>
      <w:proofErr w:type="gramStart"/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气</w:t>
      </w:r>
      <w:r w:rsidR="007577DA">
        <w:rPr>
          <w:rFonts w:ascii="Times New Roman" w:eastAsia="仿宋" w:hAnsi="Times New Roman" w:hint="eastAsia"/>
          <w:color w:val="333333"/>
          <w:sz w:val="32"/>
          <w:szCs w:val="32"/>
        </w:rPr>
        <w:t>由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氯化</w:t>
      </w:r>
      <w:proofErr w:type="gramEnd"/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亚砜吸收塔吸收后进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K105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车间尾气吸收系统经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2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级水洗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+2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级碱洗处理后通过</w:t>
      </w:r>
      <w:r w:rsidR="007577DA">
        <w:rPr>
          <w:rFonts w:ascii="Times New Roman" w:eastAsia="仿宋" w:hAnsi="Times New Roman" w:hint="eastAsia"/>
          <w:color w:val="333333"/>
          <w:sz w:val="32"/>
          <w:szCs w:val="32"/>
        </w:rPr>
        <w:t>1</w:t>
      </w:r>
      <w:r w:rsidR="007577DA">
        <w:rPr>
          <w:rFonts w:ascii="Times New Roman" w:eastAsia="仿宋" w:hAnsi="Times New Roman" w:hint="eastAsia"/>
          <w:color w:val="333333"/>
          <w:sz w:val="32"/>
          <w:szCs w:val="32"/>
        </w:rPr>
        <w:t>根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25m</w:t>
      </w:r>
      <w:r w:rsidR="007577DA">
        <w:rPr>
          <w:rFonts w:ascii="Times New Roman" w:eastAsia="仿宋" w:hAnsi="Times New Roman" w:hint="eastAsia"/>
          <w:color w:val="333333"/>
          <w:sz w:val="32"/>
          <w:szCs w:val="32"/>
        </w:rPr>
        <w:t>高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排气筒排放，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SO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  <w:vertAlign w:val="subscript"/>
        </w:rPr>
        <w:t>2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排放浓度</w:t>
      </w:r>
      <w:r w:rsidR="007577DA">
        <w:rPr>
          <w:rFonts w:ascii="Times New Roman" w:eastAsia="仿宋" w:hAnsi="Times New Roman" w:hint="eastAsia"/>
          <w:color w:val="333333"/>
          <w:sz w:val="32"/>
          <w:szCs w:val="32"/>
        </w:rPr>
        <w:t>须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满足《区域性大气污染物综合排放标准》（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DB37/2376-2019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）表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1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重点</w:t>
      </w:r>
      <w:proofErr w:type="gramStart"/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控制区</w:t>
      </w:r>
      <w:proofErr w:type="gramEnd"/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标准；</w:t>
      </w:r>
      <w:proofErr w:type="spellStart"/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HCl</w:t>
      </w:r>
      <w:proofErr w:type="spellEnd"/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排放浓度</w:t>
      </w:r>
      <w:r w:rsidR="007577DA">
        <w:rPr>
          <w:rFonts w:ascii="Times New Roman" w:eastAsia="仿宋" w:hAnsi="Times New Roman" w:hint="eastAsia"/>
          <w:color w:val="333333"/>
          <w:sz w:val="32"/>
          <w:szCs w:val="32"/>
        </w:rPr>
        <w:t>须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满足《大气污染物综合排放标准》（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GB16297-1996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）表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2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中标准要求，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VOCs</w:t>
      </w:r>
      <w:r w:rsidR="007577DA">
        <w:rPr>
          <w:rFonts w:ascii="Times New Roman" w:eastAsia="仿宋" w:hAnsi="Times New Roman" w:hint="eastAsia"/>
          <w:color w:val="333333"/>
          <w:sz w:val="32"/>
          <w:szCs w:val="32"/>
        </w:rPr>
        <w:t>须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满足《挥发性有机物排放标准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 xml:space="preserve"> 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第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6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部分：有机化工行业》（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DB37/2801.6-2018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）表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1</w:t>
      </w:r>
      <w:r w:rsidR="007577DA" w:rsidRPr="007577DA">
        <w:rPr>
          <w:rFonts w:ascii="Times New Roman" w:eastAsia="仿宋" w:hAnsi="Times New Roman" w:hint="eastAsia"/>
          <w:color w:val="333333"/>
          <w:sz w:val="32"/>
          <w:szCs w:val="32"/>
        </w:rPr>
        <w:t>第Ⅱ时段标准。</w:t>
      </w:r>
    </w:p>
    <w:p w:rsidR="00277C31" w:rsidRPr="002F6F1F" w:rsidRDefault="00277C31" w:rsidP="007577DA">
      <w:pPr>
        <w:pStyle w:val="a5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 w:rsidRPr="002F6F1F">
        <w:rPr>
          <w:rFonts w:ascii="Times New Roman" w:eastAsia="仿宋" w:hAnsi="Times New Roman" w:hint="eastAsia"/>
          <w:color w:val="333333"/>
          <w:sz w:val="32"/>
          <w:szCs w:val="32"/>
        </w:rPr>
        <w:t>你公司须通过加强装置密闭性，并采取加强生产管理等措施，减小废气的无组织排放。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确保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SO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  <w:vertAlign w:val="subscript"/>
        </w:rPr>
        <w:t>2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和</w:t>
      </w:r>
      <w:proofErr w:type="spellStart"/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HCl</w:t>
      </w:r>
      <w:proofErr w:type="spellEnd"/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满足《大气污染物综合排放标准》（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GB16297-1996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）表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2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标准，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VOCs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满足《挥发性有机物排放标准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 xml:space="preserve"> 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第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6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部分：有机化工行业》（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DB37/2801.6-2018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）表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3</w:t>
      </w:r>
      <w:r w:rsidRPr="0061556D">
        <w:rPr>
          <w:rFonts w:ascii="Times New Roman" w:eastAsia="仿宋" w:hAnsi="Times New Roman" w:hint="eastAsia"/>
          <w:color w:val="333333"/>
          <w:sz w:val="32"/>
          <w:szCs w:val="32"/>
        </w:rPr>
        <w:t>浓度限值。</w:t>
      </w:r>
    </w:p>
    <w:p w:rsidR="00277C31" w:rsidRDefault="00277C31" w:rsidP="007577DA">
      <w:pPr>
        <w:pStyle w:val="a5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</w:rPr>
        <w:t>3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、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固体废弃物实施分类管理和妥善处理处置工作。按固体废物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“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资源化、减量化、无害化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”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原则，分类收集、妥善安全处置固体废物。</w:t>
      </w:r>
    </w:p>
    <w:p w:rsidR="00277C31" w:rsidRDefault="007577DA" w:rsidP="007577DA">
      <w:pPr>
        <w:pStyle w:val="a5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 w:rsidRPr="007577DA">
        <w:rPr>
          <w:rFonts w:ascii="Times New Roman" w:eastAsia="仿宋" w:hAnsi="Times New Roman" w:hint="eastAsia"/>
          <w:color w:val="333333"/>
          <w:sz w:val="32"/>
          <w:szCs w:val="32"/>
        </w:rPr>
        <w:t>项目固</w:t>
      </w:r>
      <w:proofErr w:type="gramStart"/>
      <w:r w:rsidRPr="007577DA">
        <w:rPr>
          <w:rFonts w:ascii="Times New Roman" w:eastAsia="仿宋" w:hAnsi="Times New Roman" w:hint="eastAsia"/>
          <w:color w:val="333333"/>
          <w:sz w:val="32"/>
          <w:szCs w:val="32"/>
        </w:rPr>
        <w:t>废主要</w:t>
      </w:r>
      <w:proofErr w:type="gramEnd"/>
      <w:r w:rsidRPr="007577DA">
        <w:rPr>
          <w:rFonts w:ascii="Times New Roman" w:eastAsia="仿宋" w:hAnsi="Times New Roman" w:hint="eastAsia"/>
          <w:color w:val="333333"/>
          <w:sz w:val="32"/>
          <w:szCs w:val="32"/>
        </w:rPr>
        <w:t>为中和母液、蒸馏残渣和生活垃圾。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其中</w:t>
      </w:r>
      <w:r w:rsidRPr="007577DA">
        <w:rPr>
          <w:rFonts w:ascii="Times New Roman" w:eastAsia="仿宋" w:hAnsi="Times New Roman" w:hint="eastAsia"/>
          <w:color w:val="333333"/>
          <w:sz w:val="32"/>
          <w:szCs w:val="32"/>
        </w:rPr>
        <w:t>中和母液、蒸馏残渣属于危险废物，</w:t>
      </w:r>
      <w:r w:rsidR="00277C31">
        <w:rPr>
          <w:rFonts w:ascii="Times New Roman" w:eastAsia="仿宋" w:hAnsi="Times New Roman" w:hint="eastAsia"/>
          <w:color w:val="333333"/>
          <w:sz w:val="32"/>
          <w:szCs w:val="32"/>
        </w:rPr>
        <w:t>须</w:t>
      </w:r>
      <w:r w:rsidR="00277C31" w:rsidRPr="003D469D">
        <w:rPr>
          <w:rFonts w:ascii="Times New Roman" w:eastAsia="仿宋" w:hAnsi="Times New Roman" w:hint="eastAsia"/>
          <w:color w:val="333333"/>
          <w:sz w:val="32"/>
          <w:szCs w:val="32"/>
        </w:rPr>
        <w:t>委托有资质单位处置，</w:t>
      </w:r>
      <w:r w:rsidR="00277C31">
        <w:rPr>
          <w:rFonts w:ascii="Times New Roman" w:eastAsia="仿宋" w:hAnsi="Times New Roman" w:hint="eastAsia"/>
          <w:color w:val="333333"/>
          <w:sz w:val="32"/>
          <w:szCs w:val="32"/>
        </w:rPr>
        <w:t>并</w:t>
      </w:r>
      <w:r w:rsidR="00277C31" w:rsidRPr="002F6F1F">
        <w:rPr>
          <w:rFonts w:ascii="Times New Roman" w:eastAsia="仿宋" w:hAnsi="Times New Roman"/>
          <w:color w:val="333333"/>
          <w:sz w:val="32"/>
          <w:szCs w:val="32"/>
        </w:rPr>
        <w:t>按照《危险废物贮存污染控制标准》（</w:t>
      </w:r>
      <w:r w:rsidR="00277C31" w:rsidRPr="002F6F1F">
        <w:rPr>
          <w:rFonts w:ascii="Times New Roman" w:eastAsia="仿宋" w:hAnsi="Times New Roman"/>
          <w:color w:val="333333"/>
          <w:sz w:val="32"/>
          <w:szCs w:val="32"/>
        </w:rPr>
        <w:t>GB18597-2001</w:t>
      </w:r>
      <w:r w:rsidR="00277C31" w:rsidRPr="002F6F1F">
        <w:rPr>
          <w:rFonts w:ascii="Times New Roman" w:eastAsia="仿宋" w:hAnsi="Times New Roman"/>
          <w:color w:val="333333"/>
          <w:sz w:val="32"/>
          <w:szCs w:val="32"/>
        </w:rPr>
        <w:t>）及其修改单的相关规定进行储存，固</w:t>
      </w:r>
      <w:proofErr w:type="gramStart"/>
      <w:r w:rsidR="00277C31" w:rsidRPr="002F6F1F">
        <w:rPr>
          <w:rFonts w:ascii="Times New Roman" w:eastAsia="仿宋" w:hAnsi="Times New Roman"/>
          <w:color w:val="333333"/>
          <w:sz w:val="32"/>
          <w:szCs w:val="32"/>
        </w:rPr>
        <w:t>废转移</w:t>
      </w:r>
      <w:proofErr w:type="gramEnd"/>
      <w:r w:rsidR="00277C31" w:rsidRPr="002F6F1F">
        <w:rPr>
          <w:rFonts w:ascii="Times New Roman" w:eastAsia="仿宋" w:hAnsi="Times New Roman"/>
          <w:color w:val="333333"/>
          <w:sz w:val="32"/>
          <w:szCs w:val="32"/>
        </w:rPr>
        <w:t>建立完善的记录台</w:t>
      </w:r>
      <w:r w:rsidR="00277C31" w:rsidRPr="002F6F1F">
        <w:rPr>
          <w:rFonts w:ascii="Times New Roman" w:eastAsia="仿宋" w:hAnsi="Times New Roman"/>
          <w:color w:val="333333"/>
          <w:sz w:val="32"/>
          <w:szCs w:val="32"/>
        </w:rPr>
        <w:lastRenderedPageBreak/>
        <w:t>帐，严格执行《危险废物转移联单管理办法》</w:t>
      </w:r>
      <w:r w:rsidR="00277C31" w:rsidRPr="002F6F1F">
        <w:rPr>
          <w:rFonts w:ascii="Times New Roman" w:eastAsia="仿宋" w:hAnsi="Times New Roman" w:hint="eastAsia"/>
          <w:color w:val="333333"/>
          <w:sz w:val="32"/>
          <w:szCs w:val="32"/>
        </w:rPr>
        <w:t>；生活垃圾由环卫</w:t>
      </w:r>
      <w:r w:rsidR="00460BC8">
        <w:rPr>
          <w:rFonts w:ascii="Times New Roman" w:eastAsia="仿宋" w:hAnsi="Times New Roman" w:hint="eastAsia"/>
          <w:color w:val="333333"/>
          <w:sz w:val="32"/>
          <w:szCs w:val="32"/>
        </w:rPr>
        <w:t>部门</w:t>
      </w:r>
      <w:r w:rsidR="00277C31" w:rsidRPr="002F6F1F">
        <w:rPr>
          <w:rFonts w:ascii="Times New Roman" w:eastAsia="仿宋" w:hAnsi="Times New Roman" w:hint="eastAsia"/>
          <w:color w:val="333333"/>
          <w:sz w:val="32"/>
          <w:szCs w:val="32"/>
        </w:rPr>
        <w:t>清运。</w:t>
      </w:r>
    </w:p>
    <w:p w:rsidR="00277C31" w:rsidRPr="002F6F1F" w:rsidRDefault="00277C31" w:rsidP="007577DA">
      <w:pPr>
        <w:pStyle w:val="a5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</w:rPr>
        <w:t>4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、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合理布局，优先选用低噪声先进设备，对高噪声设备要采取减振、隔声等措施，</w:t>
      </w:r>
      <w:r>
        <w:rPr>
          <w:rFonts w:ascii="Times New Roman" w:eastAsia="仿宋" w:hAnsi="Times New Roman"/>
          <w:color w:val="333333"/>
          <w:sz w:val="32"/>
          <w:szCs w:val="32"/>
        </w:rPr>
        <w:t>确保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营运期厂界噪声符合《工业企业厂界环境噪声排放标准》（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GB12348-2008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）中的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2</w:t>
      </w:r>
      <w:r w:rsidRPr="002F6F1F">
        <w:rPr>
          <w:rFonts w:ascii="Times New Roman" w:eastAsia="仿宋" w:hAnsi="Times New Roman"/>
          <w:color w:val="333333"/>
          <w:sz w:val="32"/>
          <w:szCs w:val="32"/>
        </w:rPr>
        <w:t>类标准。</w:t>
      </w:r>
    </w:p>
    <w:p w:rsidR="00277C31" w:rsidRPr="0051788C" w:rsidRDefault="00277C31" w:rsidP="007577DA">
      <w:pPr>
        <w:pStyle w:val="a5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5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、该项目建成后，该项目主要污染物排放量应控制在该项目确认的总量控制指标之内，并严格按照《排污许可管理办法（试行）》及《排污许可分类管理名录》等相关要求，做好排污许可证的申请、变更工作。</w:t>
      </w:r>
    </w:p>
    <w:p w:rsidR="007577DA" w:rsidRPr="007577DA" w:rsidRDefault="007577DA" w:rsidP="007577DA">
      <w:pPr>
        <w:pStyle w:val="a5"/>
        <w:spacing w:line="5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7577DA">
        <w:rPr>
          <w:rFonts w:ascii="Times New Roman" w:eastAsia="仿宋" w:hAnsi="Times New Roman" w:cs="Times New Roman"/>
          <w:color w:val="333333"/>
          <w:sz w:val="32"/>
          <w:szCs w:val="32"/>
        </w:rPr>
        <w:t>6</w:t>
      </w:r>
      <w:r w:rsidRPr="007577DA">
        <w:rPr>
          <w:rFonts w:ascii="Times New Roman" w:eastAsia="仿宋" w:hAnsi="Times New Roman" w:cs="Times New Roman"/>
          <w:color w:val="333333"/>
          <w:sz w:val="32"/>
          <w:szCs w:val="32"/>
        </w:rPr>
        <w:t>、各有组织排气筒须按规范要求设置永久性监测采样孔和采样平台，凡符合在线监测安装要求的必须安装在线监控设施。</w:t>
      </w:r>
    </w:p>
    <w:p w:rsidR="007577DA" w:rsidRPr="007577DA" w:rsidRDefault="007577DA" w:rsidP="007577DA">
      <w:pPr>
        <w:pStyle w:val="a5"/>
        <w:spacing w:line="5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7577DA">
        <w:rPr>
          <w:rFonts w:ascii="Times New Roman" w:eastAsia="仿宋" w:hAnsi="Times New Roman" w:cs="Times New Roman"/>
          <w:color w:val="333333"/>
          <w:sz w:val="32"/>
          <w:szCs w:val="32"/>
        </w:rPr>
        <w:t>7</w:t>
      </w:r>
      <w:r w:rsidRPr="007577DA">
        <w:rPr>
          <w:rFonts w:ascii="Times New Roman" w:eastAsia="仿宋" w:hAnsi="Times New Roman" w:cs="Times New Roman"/>
          <w:color w:val="333333"/>
          <w:sz w:val="32"/>
          <w:szCs w:val="32"/>
        </w:rPr>
        <w:t>、加强环境风险防范措施。企业应落实应急防范与减缓措施，防止事故发生。根据环境风险评价、环境应急预案和厂区实际现状，建设相配套应急装备和监测仪器，在非事故状态下不得占用，并定期进行维修保养；定期举行应急演练；加强环境风险管理，对风险评价实行动态管理，保证事故发生时立即进入应急状态，确保环境安全。健全环境应急指挥系统，建立风险应急联动机制。</w:t>
      </w:r>
    </w:p>
    <w:p w:rsidR="007577DA" w:rsidRPr="007577DA" w:rsidRDefault="007577DA" w:rsidP="007577DA">
      <w:pPr>
        <w:pStyle w:val="a5"/>
        <w:spacing w:line="5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7577DA">
        <w:rPr>
          <w:rFonts w:ascii="Times New Roman" w:eastAsia="仿宋" w:hAnsi="Times New Roman" w:cs="Times New Roman"/>
          <w:color w:val="333333"/>
          <w:sz w:val="32"/>
          <w:szCs w:val="32"/>
        </w:rPr>
        <w:t>8</w:t>
      </w:r>
      <w:r w:rsidRPr="007577DA">
        <w:rPr>
          <w:rFonts w:ascii="Times New Roman" w:eastAsia="仿宋" w:hAnsi="Times New Roman" w:cs="Times New Roman"/>
          <w:color w:val="333333"/>
          <w:sz w:val="32"/>
          <w:szCs w:val="32"/>
        </w:rPr>
        <w:t>、加强环保宣传教育，制定环保管理制度，设置环保宣传栏；按有关要求规范设置环保图形标志、环保治理设施标示牌。落实报告书提出的环境管理及监测计划。</w:t>
      </w:r>
    </w:p>
    <w:p w:rsidR="007577DA" w:rsidRPr="007577DA" w:rsidRDefault="007577DA" w:rsidP="007577DA">
      <w:pPr>
        <w:pStyle w:val="a5"/>
        <w:spacing w:line="5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7577DA">
        <w:rPr>
          <w:rFonts w:ascii="Times New Roman" w:eastAsia="仿宋" w:hAnsi="Times New Roman" w:cs="Times New Roman"/>
          <w:color w:val="333333"/>
          <w:sz w:val="32"/>
          <w:szCs w:val="32"/>
        </w:rPr>
        <w:lastRenderedPageBreak/>
        <w:t>9</w:t>
      </w:r>
      <w:r w:rsidRPr="007577DA">
        <w:rPr>
          <w:rFonts w:ascii="Times New Roman" w:eastAsia="仿宋" w:hAnsi="Times New Roman" w:cs="Times New Roman"/>
          <w:color w:val="333333"/>
          <w:sz w:val="32"/>
          <w:szCs w:val="32"/>
        </w:rPr>
        <w:t>、强化公众参与。在工程施工和运营过程中，应建立通畅的公众参与平台。定期发布企业环境信息，主动接受社会监督。</w:t>
      </w:r>
    </w:p>
    <w:p w:rsidR="00277C31" w:rsidRPr="0051788C" w:rsidRDefault="00277C31" w:rsidP="007577DA">
      <w:pPr>
        <w:pStyle w:val="a5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三、项目建设必须执行配套的环境保护设施与主体工程同时设计、同时施工、同时使用的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“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三同时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”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制度。项目竣工后，须按规定程序开展项目竣工环境保护验收。</w:t>
      </w:r>
    </w:p>
    <w:p w:rsidR="00277C31" w:rsidRPr="0051788C" w:rsidRDefault="00277C31" w:rsidP="007577DA">
      <w:pPr>
        <w:pStyle w:val="a5"/>
        <w:widowControl w:val="0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四、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淄川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分局负责该项目的环境监察工作。</w:t>
      </w:r>
    </w:p>
    <w:p w:rsidR="00277C31" w:rsidRPr="0051788C" w:rsidRDefault="00277C31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277C31" w:rsidRDefault="00277C31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7577DA" w:rsidRPr="0051788C" w:rsidRDefault="007577DA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277C31" w:rsidRPr="0051788C" w:rsidRDefault="00277C31" w:rsidP="007577DA">
      <w:pPr>
        <w:pStyle w:val="a5"/>
        <w:widowControl w:val="0"/>
        <w:spacing w:before="0" w:beforeAutospacing="0" w:after="0" w:afterAutospacing="0" w:line="500" w:lineRule="exact"/>
        <w:ind w:firstLineChars="1750" w:firstLine="560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淄博市生态环境局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 xml:space="preserve">                               </w:t>
      </w:r>
    </w:p>
    <w:p w:rsidR="00277C31" w:rsidRPr="0051788C" w:rsidRDefault="00277C31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 xml:space="preserve">                                    20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20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年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1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14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日</w:t>
      </w:r>
    </w:p>
    <w:p w:rsidR="00277C31" w:rsidRDefault="00277C31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277C31" w:rsidRDefault="00277C31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277C31" w:rsidRDefault="00277C31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7577DA" w:rsidRDefault="007577DA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7577DA" w:rsidRDefault="007577DA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7577DA" w:rsidRDefault="007577DA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7577DA" w:rsidRDefault="007577DA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7577DA" w:rsidRDefault="007577DA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7577DA" w:rsidRDefault="007577DA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7577DA" w:rsidRDefault="007577DA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7577DA" w:rsidRDefault="007577DA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bookmarkStart w:id="0" w:name="_GoBack"/>
      <w:bookmarkEnd w:id="0"/>
    </w:p>
    <w:p w:rsidR="007577DA" w:rsidRDefault="007577DA" w:rsidP="007577DA">
      <w:pPr>
        <w:pStyle w:val="a5"/>
        <w:widowControl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0D1CAB" w:rsidRPr="00277C31" w:rsidRDefault="00277C31" w:rsidP="007577DA">
      <w:pPr>
        <w:pStyle w:val="a5"/>
        <w:widowControl w:val="0"/>
        <w:spacing w:before="0" w:beforeAutospacing="0" w:after="0" w:afterAutospacing="0" w:line="500" w:lineRule="exact"/>
        <w:jc w:val="both"/>
      </w:pP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抄送：淄博市生态环境质量控制服务中心、淄博市生态环境综合执法支队、淄博市环境污染防控中心、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淄川</w:t>
      </w:r>
      <w:r w:rsidRPr="0051788C">
        <w:rPr>
          <w:rFonts w:ascii="Times New Roman" w:eastAsia="仿宋" w:hAnsi="Times New Roman" w:cs="Times New Roman"/>
          <w:color w:val="333333"/>
          <w:sz w:val="32"/>
          <w:szCs w:val="32"/>
        </w:rPr>
        <w:t>分局、</w:t>
      </w:r>
      <w:r w:rsidRPr="0051788C">
        <w:rPr>
          <w:rFonts w:ascii="Times New Roman" w:eastAsia="仿宋" w:hAnsi="Times New Roman" w:cs="Times New Roman"/>
          <w:bCs/>
          <w:color w:val="333333"/>
          <w:sz w:val="32"/>
          <w:szCs w:val="32"/>
        </w:rPr>
        <w:t>山东海美侬项目咨询有限公司</w:t>
      </w:r>
    </w:p>
    <w:sectPr w:rsidR="000D1CAB" w:rsidRPr="00277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6B" w:rsidRDefault="000C1E6B" w:rsidP="00277C31">
      <w:r>
        <w:separator/>
      </w:r>
    </w:p>
  </w:endnote>
  <w:endnote w:type="continuationSeparator" w:id="0">
    <w:p w:rsidR="000C1E6B" w:rsidRDefault="000C1E6B" w:rsidP="0027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6B" w:rsidRDefault="000C1E6B" w:rsidP="00277C31">
      <w:r>
        <w:separator/>
      </w:r>
    </w:p>
  </w:footnote>
  <w:footnote w:type="continuationSeparator" w:id="0">
    <w:p w:rsidR="000C1E6B" w:rsidRDefault="000C1E6B" w:rsidP="0027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B3"/>
    <w:rsid w:val="000C1E6B"/>
    <w:rsid w:val="000D1CAB"/>
    <w:rsid w:val="000E4FAD"/>
    <w:rsid w:val="001A340E"/>
    <w:rsid w:val="001C35B3"/>
    <w:rsid w:val="00277C31"/>
    <w:rsid w:val="00460BC8"/>
    <w:rsid w:val="007577DA"/>
    <w:rsid w:val="008B4D21"/>
    <w:rsid w:val="00B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C3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7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577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77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C3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7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577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7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2020-01-16T01:41:00Z</cp:lastPrinted>
  <dcterms:created xsi:type="dcterms:W3CDTF">2020-01-14T05:15:00Z</dcterms:created>
  <dcterms:modified xsi:type="dcterms:W3CDTF">2020-01-16T01:43:00Z</dcterms:modified>
</cp:coreProperties>
</file>