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文星标宋" w:hAnsi="文星标宋" w:eastAsia="文星标宋"/>
          <w:color w:val="FF0000"/>
          <w:sz w:val="52"/>
          <w:szCs w:val="24"/>
        </w:rPr>
      </w:pPr>
      <w:r>
        <w:rPr>
          <w:sz w:val="21"/>
        </w:rPr>
        <mc:AlternateContent>
          <mc:Choice Requires="wps">
            <w:drawing>
              <wp:anchor distT="0" distB="0" distL="114300" distR="114300" simplePos="0" relativeHeight="251662336" behindDoc="0" locked="0" layoutInCell="1" allowOverlap="1">
                <wp:simplePos x="0" y="0"/>
                <wp:positionH relativeFrom="column">
                  <wp:posOffset>4690110</wp:posOffset>
                </wp:positionH>
                <wp:positionV relativeFrom="paragraph">
                  <wp:posOffset>179070</wp:posOffset>
                </wp:positionV>
                <wp:extent cx="934085" cy="5264785"/>
                <wp:effectExtent l="0" t="0" r="18415" b="12065"/>
                <wp:wrapNone/>
                <wp:docPr id="4" name="文本框 4"/>
                <wp:cNvGraphicFramePr/>
                <a:graphic xmlns:a="http://schemas.openxmlformats.org/drawingml/2006/main">
                  <a:graphicData uri="http://schemas.microsoft.com/office/word/2010/wordprocessingShape">
                    <wps:wsp>
                      <wps:cNvSpPr txBox="true"/>
                      <wps:spPr>
                        <a:xfrm>
                          <a:off x="5641975" y="1093470"/>
                          <a:ext cx="934085" cy="52647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eastAsia="方正小标宋简体"/>
                                <w:color w:val="auto"/>
                                <w:sz w:val="5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eastAsia="方正小标宋简体"/>
                                <w:color w:val="auto"/>
                                <w:sz w:val="5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eastAsia="方正小标宋简体"/>
                                <w:color w:val="auto"/>
                                <w:sz w:val="52"/>
                                <w:lang w:val="en-US" w:eastAsia="zh-CN"/>
                              </w:rPr>
                            </w:pPr>
                          </w:p>
                          <w:p>
                            <w:pPr>
                              <w:pStyle w:val="2"/>
                              <w:rPr>
                                <w:rFonts w:hint="eastAsia" w:eastAsia="方正小标宋简体"/>
                                <w:color w:val="auto"/>
                                <w:sz w:val="5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eastAsia="方正小标宋简体"/>
                                <w:color w:val="auto"/>
                                <w:sz w:val="21"/>
                                <w:szCs w:val="21"/>
                                <w:lang w:val="en-US" w:eastAsia="zh-CN"/>
                              </w:rPr>
                            </w:pPr>
                          </w:p>
                          <w:p>
                            <w:pPr>
                              <w:jc w:val="center"/>
                              <w:rPr>
                                <w:rFonts w:hint="eastAsia" w:ascii="方正小标宋简体" w:hAnsi="方正小标宋简体" w:eastAsia="方正小标宋简体" w:cs="方正小标宋简体"/>
                                <w:b/>
                                <w:bCs/>
                                <w:color w:val="FF0000"/>
                                <w:w w:val="66"/>
                                <w:sz w:val="84"/>
                                <w:szCs w:val="84"/>
                                <w:lang w:val="en-US" w:eastAsia="zh-CN"/>
                              </w:rPr>
                            </w:pPr>
                            <w:r>
                              <w:rPr>
                                <w:rFonts w:hint="eastAsia" w:ascii="方正小标宋简体" w:hAnsi="方正小标宋简体" w:eastAsia="方正小标宋简体" w:cs="方正小标宋简体"/>
                                <w:b/>
                                <w:bCs/>
                                <w:color w:val="FF0000"/>
                                <w:w w:val="66"/>
                                <w:sz w:val="84"/>
                                <w:szCs w:val="84"/>
                                <w:lang w:val="en-US" w:eastAsia="zh-CN"/>
                              </w:rPr>
                              <w:t>文件</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69.3pt;margin-top:14.1pt;height:414.55pt;width:73.55pt;z-index:251662336;mso-width-relative:page;mso-height-relative:page;" fillcolor="#FFFFFF [3201]" filled="t" stroked="f" coordsize="21600,21600" o:gfxdata="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BYAAABkcnMvUEsBAhQAFAAAAAgAh07iQPd1NJvX&#10;AAAACgEAAA8AAAAAAAAAAQAgAAAAOAAAAGRycy9kb3ducmV2LnhtbFBLAQIUABQAAAAIAIdO4kAm&#10;wKQ3RAIAAF8EAAAOAAAAAAAAAAEAIAAAADwBAABkcnMvZTJvRG9jLnhtbFBLBQYAAAAABgAGAFkB&#10;AADyBQ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eastAsia="方正小标宋简体"/>
                          <w:color w:val="auto"/>
                          <w:sz w:val="5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eastAsia="方正小标宋简体"/>
                          <w:color w:val="auto"/>
                          <w:sz w:val="52"/>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eastAsia="方正小标宋简体"/>
                          <w:color w:val="auto"/>
                          <w:sz w:val="52"/>
                          <w:lang w:val="en-US" w:eastAsia="zh-CN"/>
                        </w:rPr>
                      </w:pPr>
                    </w:p>
                    <w:p>
                      <w:pPr>
                        <w:pStyle w:val="2"/>
                        <w:rPr>
                          <w:rFonts w:hint="eastAsia" w:eastAsia="方正小标宋简体"/>
                          <w:color w:val="auto"/>
                          <w:sz w:val="52"/>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jc w:val="center"/>
                        <w:textAlignment w:val="auto"/>
                        <w:outlineLvl w:val="9"/>
                        <w:rPr>
                          <w:rFonts w:hint="eastAsia" w:eastAsia="方正小标宋简体"/>
                          <w:color w:val="auto"/>
                          <w:sz w:val="21"/>
                          <w:szCs w:val="21"/>
                          <w:lang w:val="en-US" w:eastAsia="zh-CN"/>
                        </w:rPr>
                      </w:pPr>
                    </w:p>
                    <w:p>
                      <w:pPr>
                        <w:jc w:val="center"/>
                        <w:rPr>
                          <w:rFonts w:hint="eastAsia" w:ascii="方正小标宋简体" w:hAnsi="方正小标宋简体" w:eastAsia="方正小标宋简体" w:cs="方正小标宋简体"/>
                          <w:b/>
                          <w:bCs/>
                          <w:color w:val="FF0000"/>
                          <w:w w:val="66"/>
                          <w:sz w:val="84"/>
                          <w:szCs w:val="84"/>
                          <w:lang w:val="en-US" w:eastAsia="zh-CN"/>
                        </w:rPr>
                      </w:pPr>
                      <w:r>
                        <w:rPr>
                          <w:rFonts w:hint="eastAsia" w:ascii="方正小标宋简体" w:hAnsi="方正小标宋简体" w:eastAsia="方正小标宋简体" w:cs="方正小标宋简体"/>
                          <w:b/>
                          <w:bCs/>
                          <w:color w:val="FF0000"/>
                          <w:w w:val="66"/>
                          <w:sz w:val="84"/>
                          <w:szCs w:val="84"/>
                          <w:lang w:val="en-US" w:eastAsia="zh-CN"/>
                        </w:rPr>
                        <w:t>文件</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33655</wp:posOffset>
                </wp:positionH>
                <wp:positionV relativeFrom="paragraph">
                  <wp:posOffset>24130</wp:posOffset>
                </wp:positionV>
                <wp:extent cx="4725035" cy="5378450"/>
                <wp:effectExtent l="0" t="0" r="18415" b="12700"/>
                <wp:wrapNone/>
                <wp:docPr id="3" name="矩形 3"/>
                <wp:cNvGraphicFramePr/>
                <a:graphic xmlns:a="http://schemas.openxmlformats.org/drawingml/2006/main">
                  <a:graphicData uri="http://schemas.microsoft.com/office/word/2010/wordprocessingShape">
                    <wps:wsp>
                      <wps:cNvSpPr/>
                      <wps:spPr>
                        <a:xfrm>
                          <a:off x="0" y="0"/>
                          <a:ext cx="4725035" cy="5378450"/>
                        </a:xfrm>
                        <a:prstGeom prst="rect">
                          <a:avLst/>
                        </a:prstGeom>
                        <a:solidFill>
                          <a:srgbClr val="FFFFFF"/>
                        </a:solidFill>
                        <a:ln>
                          <a:noFill/>
                        </a:ln>
                      </wps:spPr>
                      <wps:txbx>
                        <w:txbxContent>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rPr>
                            </w:pPr>
                            <w:r>
                              <w:rPr>
                                <w:rFonts w:hint="eastAsia" w:ascii="方正小标宋简体" w:hAnsi="方正小标宋简体" w:eastAsia="方正小标宋简体" w:cs="方正小标宋简体"/>
                                <w:b/>
                                <w:bCs/>
                                <w:color w:val="FF0000"/>
                                <w:spacing w:val="-20"/>
                                <w:w w:val="100"/>
                                <w:sz w:val="44"/>
                                <w:szCs w:val="44"/>
                              </w:rPr>
                              <w:t>淄博市生态环境局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淄博市发展和改革委员会</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淄博市工业和信息化局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eastAsia="zh-CN"/>
                              </w:rPr>
                            </w:pPr>
                            <w:r>
                              <w:rPr>
                                <w:rFonts w:hint="eastAsia" w:ascii="方正小标宋简体" w:hAnsi="方正小标宋简体" w:eastAsia="方正小标宋简体" w:cs="方正小标宋简体"/>
                                <w:b/>
                                <w:bCs/>
                                <w:color w:val="FF0000"/>
                                <w:spacing w:val="-20"/>
                                <w:w w:val="100"/>
                                <w:sz w:val="44"/>
                                <w:szCs w:val="44"/>
                              </w:rPr>
                              <w:t>淄博市</w:t>
                            </w:r>
                            <w:r>
                              <w:rPr>
                                <w:rFonts w:hint="eastAsia" w:ascii="方正小标宋简体" w:hAnsi="方正小标宋简体" w:eastAsia="方正小标宋简体" w:cs="方正小标宋简体"/>
                                <w:b/>
                                <w:bCs/>
                                <w:color w:val="FF0000"/>
                                <w:spacing w:val="-20"/>
                                <w:w w:val="100"/>
                                <w:sz w:val="44"/>
                                <w:szCs w:val="44"/>
                                <w:lang w:val="en-US" w:eastAsia="zh-CN"/>
                              </w:rPr>
                              <w:t>公安</w:t>
                            </w:r>
                            <w:r>
                              <w:rPr>
                                <w:rFonts w:hint="eastAsia" w:ascii="方正小标宋简体" w:hAnsi="方正小标宋简体" w:eastAsia="方正小标宋简体" w:cs="方正小标宋简体"/>
                                <w:b/>
                                <w:bCs/>
                                <w:color w:val="FF0000"/>
                                <w:spacing w:val="-20"/>
                                <w:w w:val="100"/>
                                <w:sz w:val="44"/>
                                <w:szCs w:val="44"/>
                                <w:lang w:eastAsia="zh-CN"/>
                              </w:rPr>
                              <w:t>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淄博市财政局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淄博市自然资源和规划局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highlight w:val="none"/>
                              </w:rPr>
                            </w:pPr>
                            <w:r>
                              <w:rPr>
                                <w:rFonts w:hint="eastAsia" w:ascii="方正小标宋简体" w:hAnsi="方正小标宋简体" w:eastAsia="方正小标宋简体" w:cs="方正小标宋简体"/>
                                <w:b/>
                                <w:bCs/>
                                <w:color w:val="FF0000"/>
                                <w:spacing w:val="-20"/>
                                <w:w w:val="100"/>
                                <w:sz w:val="44"/>
                                <w:szCs w:val="44"/>
                              </w:rPr>
                              <w:t>淄博市住房和城乡建设局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淄博市交通运输局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淄博市水利局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淄博市农业农村局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淄博市商务局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淄博市应急管理局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淄博市市场监督管理局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淄博市城市管理局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淄博市气象局</w:t>
                            </w: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outlineLvl w:val="9"/>
                              <w:rPr>
                                <w:rFonts w:hint="eastAsia" w:ascii="方正小标宋简体" w:hAnsi="方正小标宋简体" w:eastAsia="方正小标宋简体" w:cs="方正小标宋简体"/>
                                <w:b/>
                                <w:bCs/>
                                <w:color w:val="FF0000"/>
                                <w:sz w:val="52"/>
                                <w:szCs w:val="2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outlineLvl w:val="9"/>
                              <w:rPr>
                                <w:rFonts w:hint="eastAsia" w:ascii="方正小标宋简体" w:hAnsi="方正小标宋简体" w:eastAsia="方正小标宋简体" w:cs="方正小标宋简体"/>
                                <w:b/>
                                <w:bCs/>
                                <w:color w:val="FF0000"/>
                                <w:sz w:val="52"/>
                                <w:szCs w:val="2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outlineLvl w:val="9"/>
                              <w:rPr>
                                <w:rFonts w:hint="eastAsia" w:ascii="方正小标宋简体" w:hAnsi="方正小标宋简体" w:eastAsia="方正小标宋简体" w:cs="方正小标宋简体"/>
                                <w:b/>
                                <w:bCs/>
                                <w:color w:val="FF0000"/>
                                <w:sz w:val="52"/>
                                <w:szCs w:val="2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outlineLvl w:val="9"/>
                              <w:rPr>
                                <w:rFonts w:hint="default" w:ascii="方正小标宋简体" w:hAnsi="方正小标宋简体" w:eastAsia="方正小标宋简体" w:cs="方正小标宋简体"/>
                                <w:b/>
                                <w:bCs/>
                                <w:color w:val="FF0000"/>
                                <w:sz w:val="52"/>
                                <w:szCs w:val="24"/>
                                <w:lang w:val="en-US" w:eastAsia="zh-CN"/>
                              </w:rPr>
                            </w:pPr>
                          </w:p>
                        </w:txbxContent>
                      </wps:txbx>
                      <wps:bodyPr upright="true"/>
                    </wps:wsp>
                  </a:graphicData>
                </a:graphic>
              </wp:anchor>
            </w:drawing>
          </mc:Choice>
          <mc:Fallback>
            <w:pict>
              <v:rect id="_x0000_s1026" o:spid="_x0000_s1026" o:spt="1" style="position:absolute;left:0pt;margin-left:2.65pt;margin-top:1.9pt;height:423.5pt;width:372.05pt;z-index:251661312;mso-width-relative:page;mso-height-relative:page;" fillcolor="#FFFFFF" filled="t" stroked="f" coordsize="21600,21600" o:gfxdata="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VGHjRtUAAAAHAQAADwAAAAAAAAABACAAAAA4AAAAZHJzL2Rvd25yZXYueG1sUEsBAhQAFAAAAAgA&#10;h07iQL+RMtKgAQAAIAMAAA4AAAAAAAAAAQAgAAAAOgEAAGRycy9lMm9Eb2MueG1sUEsFBgAAAAAG&#10;AAYAWQEAAEwFA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rPr>
                      </w:pPr>
                      <w:r>
                        <w:rPr>
                          <w:rFonts w:hint="eastAsia" w:ascii="方正小标宋简体" w:hAnsi="方正小标宋简体" w:eastAsia="方正小标宋简体" w:cs="方正小标宋简体"/>
                          <w:b/>
                          <w:bCs/>
                          <w:color w:val="FF0000"/>
                          <w:spacing w:val="-20"/>
                          <w:w w:val="100"/>
                          <w:sz w:val="44"/>
                          <w:szCs w:val="44"/>
                        </w:rPr>
                        <w:t>淄博市生态环境局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淄博市发展和改革委员会</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淄博市工业和信息化局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eastAsia="zh-CN"/>
                        </w:rPr>
                      </w:pPr>
                      <w:r>
                        <w:rPr>
                          <w:rFonts w:hint="eastAsia" w:ascii="方正小标宋简体" w:hAnsi="方正小标宋简体" w:eastAsia="方正小标宋简体" w:cs="方正小标宋简体"/>
                          <w:b/>
                          <w:bCs/>
                          <w:color w:val="FF0000"/>
                          <w:spacing w:val="-20"/>
                          <w:w w:val="100"/>
                          <w:sz w:val="44"/>
                          <w:szCs w:val="44"/>
                        </w:rPr>
                        <w:t>淄博市</w:t>
                      </w:r>
                      <w:r>
                        <w:rPr>
                          <w:rFonts w:hint="eastAsia" w:ascii="方正小标宋简体" w:hAnsi="方正小标宋简体" w:eastAsia="方正小标宋简体" w:cs="方正小标宋简体"/>
                          <w:b/>
                          <w:bCs/>
                          <w:color w:val="FF0000"/>
                          <w:spacing w:val="-20"/>
                          <w:w w:val="100"/>
                          <w:sz w:val="44"/>
                          <w:szCs w:val="44"/>
                          <w:lang w:val="en-US" w:eastAsia="zh-CN"/>
                        </w:rPr>
                        <w:t>公安</w:t>
                      </w:r>
                      <w:r>
                        <w:rPr>
                          <w:rFonts w:hint="eastAsia" w:ascii="方正小标宋简体" w:hAnsi="方正小标宋简体" w:eastAsia="方正小标宋简体" w:cs="方正小标宋简体"/>
                          <w:b/>
                          <w:bCs/>
                          <w:color w:val="FF0000"/>
                          <w:spacing w:val="-20"/>
                          <w:w w:val="100"/>
                          <w:sz w:val="44"/>
                          <w:szCs w:val="44"/>
                          <w:lang w:eastAsia="zh-CN"/>
                        </w:rPr>
                        <w:t>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淄博市财政局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淄博市自然资源和规划局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highlight w:val="none"/>
                        </w:rPr>
                      </w:pPr>
                      <w:r>
                        <w:rPr>
                          <w:rFonts w:hint="eastAsia" w:ascii="方正小标宋简体" w:hAnsi="方正小标宋简体" w:eastAsia="方正小标宋简体" w:cs="方正小标宋简体"/>
                          <w:b/>
                          <w:bCs/>
                          <w:color w:val="FF0000"/>
                          <w:spacing w:val="-20"/>
                          <w:w w:val="100"/>
                          <w:sz w:val="44"/>
                          <w:szCs w:val="44"/>
                        </w:rPr>
                        <w:t>淄博市住房和城乡建设局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淄博市交通运输局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淄博市水利局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淄博市农业农村局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淄博市商务局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淄博市应急管理局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淄博市市场监督管理局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eastAsia" w:ascii="方正小标宋简体" w:hAnsi="方正小标宋简体" w:eastAsia="方正小标宋简体" w:cs="方正小标宋简体"/>
                          <w:b/>
                          <w:bCs/>
                          <w:color w:val="FF0000"/>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淄博市城市管理局</w:t>
                      </w:r>
                    </w:p>
                    <w:p>
                      <w:pPr>
                        <w:keepNext w:val="0"/>
                        <w:keepLines w:val="0"/>
                        <w:pageBreakBefore w:val="0"/>
                        <w:widowControl w:val="0"/>
                        <w:kinsoku/>
                        <w:wordWrap/>
                        <w:overflowPunct/>
                        <w:topLinePunct w:val="0"/>
                        <w:autoSpaceDE/>
                        <w:autoSpaceDN/>
                        <w:bidi w:val="0"/>
                        <w:adjustRightInd w:val="0"/>
                        <w:snapToGrid w:val="0"/>
                        <w:spacing w:line="560" w:lineRule="exact"/>
                        <w:jc w:val="distribute"/>
                        <w:textAlignment w:val="auto"/>
                        <w:outlineLvl w:val="9"/>
                        <w:rPr>
                          <w:rFonts w:hint="default"/>
                          <w:spacing w:val="-20"/>
                          <w:w w:val="100"/>
                          <w:sz w:val="44"/>
                          <w:szCs w:val="44"/>
                          <w:lang w:val="en-US" w:eastAsia="zh-CN"/>
                        </w:rPr>
                      </w:pPr>
                      <w:r>
                        <w:rPr>
                          <w:rFonts w:hint="eastAsia" w:ascii="方正小标宋简体" w:hAnsi="方正小标宋简体" w:eastAsia="方正小标宋简体" w:cs="方正小标宋简体"/>
                          <w:b/>
                          <w:bCs/>
                          <w:color w:val="FF0000"/>
                          <w:spacing w:val="-20"/>
                          <w:w w:val="100"/>
                          <w:sz w:val="44"/>
                          <w:szCs w:val="44"/>
                          <w:lang w:val="en-US" w:eastAsia="zh-CN"/>
                        </w:rPr>
                        <w:t>淄博市气象局</w:t>
                      </w: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outlineLvl w:val="9"/>
                        <w:rPr>
                          <w:rFonts w:hint="eastAsia" w:ascii="方正小标宋简体" w:hAnsi="方正小标宋简体" w:eastAsia="方正小标宋简体" w:cs="方正小标宋简体"/>
                          <w:b/>
                          <w:bCs/>
                          <w:color w:val="FF0000"/>
                          <w:sz w:val="52"/>
                          <w:szCs w:val="2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outlineLvl w:val="9"/>
                        <w:rPr>
                          <w:rFonts w:hint="eastAsia" w:ascii="方正小标宋简体" w:hAnsi="方正小标宋简体" w:eastAsia="方正小标宋简体" w:cs="方正小标宋简体"/>
                          <w:b/>
                          <w:bCs/>
                          <w:color w:val="FF0000"/>
                          <w:sz w:val="52"/>
                          <w:szCs w:val="2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outlineLvl w:val="9"/>
                        <w:rPr>
                          <w:rFonts w:hint="eastAsia" w:ascii="方正小标宋简体" w:hAnsi="方正小标宋简体" w:eastAsia="方正小标宋简体" w:cs="方正小标宋简体"/>
                          <w:b/>
                          <w:bCs/>
                          <w:color w:val="FF0000"/>
                          <w:sz w:val="52"/>
                          <w:szCs w:val="24"/>
                          <w:lang w:val="en-US" w:eastAsia="zh-CN"/>
                        </w:rPr>
                      </w:pPr>
                    </w:p>
                    <w:p>
                      <w:pPr>
                        <w:keepNext w:val="0"/>
                        <w:keepLines w:val="0"/>
                        <w:pageBreakBefore w:val="0"/>
                        <w:widowControl w:val="0"/>
                        <w:kinsoku/>
                        <w:wordWrap/>
                        <w:overflowPunct/>
                        <w:topLinePunct w:val="0"/>
                        <w:autoSpaceDE/>
                        <w:autoSpaceDN/>
                        <w:bidi w:val="0"/>
                        <w:adjustRightInd/>
                        <w:snapToGrid/>
                        <w:spacing w:line="680" w:lineRule="exact"/>
                        <w:jc w:val="distribute"/>
                        <w:textAlignment w:val="auto"/>
                        <w:outlineLvl w:val="9"/>
                        <w:rPr>
                          <w:rFonts w:hint="default" w:ascii="方正小标宋简体" w:hAnsi="方正小标宋简体" w:eastAsia="方正小标宋简体" w:cs="方正小标宋简体"/>
                          <w:b/>
                          <w:bCs/>
                          <w:color w:val="FF0000"/>
                          <w:sz w:val="52"/>
                          <w:szCs w:val="24"/>
                          <w:lang w:val="en-US" w:eastAsia="zh-CN"/>
                        </w:rPr>
                      </w:pPr>
                    </w:p>
                  </w:txbxContent>
                </v:textbox>
              </v:rect>
            </w:pict>
          </mc:Fallback>
        </mc:AlternateContent>
      </w:r>
    </w:p>
    <w:p>
      <w:pPr>
        <w:snapToGrid w:val="0"/>
        <w:spacing w:line="216" w:lineRule="auto"/>
        <w:jc w:val="right"/>
        <w:rPr>
          <w:rFonts w:hint="eastAsia" w:ascii="文星标宋" w:hAnsi="文星标宋" w:eastAsia="文星标宋"/>
          <w:color w:val="FF0000"/>
          <w:sz w:val="52"/>
          <w:szCs w:val="24"/>
        </w:rPr>
      </w:pPr>
    </w:p>
    <w:p>
      <w:pPr>
        <w:snapToGrid w:val="0"/>
        <w:spacing w:line="216" w:lineRule="auto"/>
        <w:jc w:val="right"/>
        <w:rPr>
          <w:rFonts w:hint="eastAsia" w:ascii="文星标宋" w:hAnsi="文星标宋" w:eastAsia="文星标宋"/>
          <w:color w:val="FF0000"/>
          <w:sz w:val="52"/>
          <w:szCs w:val="24"/>
        </w:rPr>
      </w:pPr>
    </w:p>
    <w:p>
      <w:pPr>
        <w:snapToGrid w:val="0"/>
        <w:spacing w:line="216" w:lineRule="auto"/>
        <w:jc w:val="distribute"/>
        <w:rPr>
          <w:rFonts w:hint="eastAsia" w:ascii="文星标宋" w:hAnsi="文星标宋" w:eastAsia="文星标宋" w:cs="Times New Roman"/>
          <w:color w:val="FF0000"/>
          <w:sz w:val="40"/>
          <w:szCs w:val="44"/>
        </w:rPr>
      </w:pPr>
    </w:p>
    <w:p>
      <w:pPr>
        <w:snapToGrid w:val="0"/>
        <w:spacing w:line="216" w:lineRule="auto"/>
        <w:jc w:val="distribute"/>
        <w:rPr>
          <w:rFonts w:hint="eastAsia" w:ascii="文星标宋" w:hAnsi="文星标宋" w:eastAsia="文星标宋" w:cs="Times New Roman"/>
          <w:color w:val="FF0000"/>
          <w:sz w:val="40"/>
          <w:szCs w:val="44"/>
        </w:rPr>
      </w:pPr>
    </w:p>
    <w:p>
      <w:pPr>
        <w:spacing w:line="0" w:lineRule="atLeast"/>
        <w:jc w:val="center"/>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0"/>
        <w:rPr>
          <w:rFonts w:hint="eastAsia"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b w:val="0"/>
          <w:bCs w:val="0"/>
          <w:sz w:val="44"/>
          <w:szCs w:val="44"/>
          <w:lang w:val="en-US" w:eastAsia="zh-CN"/>
        </w:rPr>
      </w:pPr>
    </w:p>
    <w:tbl>
      <w:tblPr>
        <w:tblStyle w:val="9"/>
        <w:tblpPr w:leftFromText="180" w:rightFromText="180" w:vertAnchor="text" w:horzAnchor="page" w:tblpX="1889" w:tblpY="502"/>
        <w:tblOverlap w:val="never"/>
        <w:tblW w:w="8522" w:type="dxa"/>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522" w:type="dxa"/>
            <w:tcBorders>
              <w:bottom w:val="single" w:color="FF0000" w:sz="8" w:space="0"/>
            </w:tcBorders>
            <w:vAlign w:val="top"/>
          </w:tcPr>
          <w:p>
            <w:pPr>
              <w:spacing w:line="0" w:lineRule="atLeast"/>
              <w:jc w:val="center"/>
              <w:rPr>
                <w:rFonts w:hint="default" w:ascii="Times New Roman" w:hAnsi="Times New Roman" w:eastAsia="仿宋_GB2312" w:cs="Times New Roman"/>
                <w:color w:val="000000"/>
                <w:sz w:val="10"/>
                <w:szCs w:val="32"/>
              </w:rPr>
            </w:pPr>
          </w:p>
          <w:p>
            <w:pPr>
              <w:spacing w:line="0" w:lineRule="atLeast"/>
              <w:jc w:val="center"/>
              <w:rPr>
                <w:rFonts w:hint="default" w:ascii="Times New Roman" w:hAnsi="Times New Roman" w:eastAsia="仿宋_GB2312" w:cs="Times New Roman"/>
                <w:color w:val="000000"/>
                <w:sz w:val="10"/>
                <w:szCs w:val="32"/>
              </w:rPr>
            </w:pPr>
          </w:p>
          <w:p>
            <w:pPr>
              <w:spacing w:line="0" w:lineRule="atLeast"/>
              <w:jc w:val="center"/>
              <w:rPr>
                <w:rFonts w:hint="default" w:ascii="Times New Roman" w:hAnsi="Times New Roman" w:eastAsia="仿宋_GB2312" w:cs="Times New Roman"/>
                <w:color w:val="000000"/>
                <w:sz w:val="10"/>
                <w:szCs w:val="32"/>
              </w:rPr>
            </w:pPr>
          </w:p>
          <w:p>
            <w:pPr>
              <w:spacing w:line="0" w:lineRule="atLeast"/>
              <w:jc w:val="center"/>
              <w:rPr>
                <w:rFonts w:hint="default" w:ascii="Times New Roman" w:hAnsi="Times New Roman" w:eastAsia="仿宋_GB2312" w:cs="Times New Roman"/>
                <w:color w:val="000000"/>
                <w:sz w:val="10"/>
                <w:szCs w:val="32"/>
              </w:rPr>
            </w:pPr>
          </w:p>
          <w:p>
            <w:pPr>
              <w:spacing w:line="0" w:lineRule="atLeast"/>
              <w:jc w:val="center"/>
              <w:rPr>
                <w:rFonts w:hint="default" w:ascii="仿宋_GB2312" w:hAnsi="仿宋_GB2312" w:eastAsia="仿宋_GB2312" w:cs="仿宋_GB2312"/>
                <w:color w:val="000000"/>
                <w:sz w:val="10"/>
                <w:szCs w:val="32"/>
                <w:lang w:val="en-US" w:eastAsia="zh-CN"/>
              </w:rPr>
            </w:pPr>
            <w:r>
              <w:rPr>
                <w:rFonts w:hint="eastAsia" w:ascii="Times New Roman" w:hAnsi="Times New Roman" w:eastAsia="仿宋_GB2312" w:cs="Times New Roman"/>
                <w:color w:val="000000"/>
                <w:sz w:val="32"/>
                <w:szCs w:val="180"/>
                <w:lang w:eastAsia="zh-CN"/>
              </w:rPr>
              <w:t>淄环</w:t>
            </w:r>
            <w:r>
              <w:rPr>
                <w:rFonts w:hint="eastAsia" w:ascii="Times New Roman" w:hAnsi="Times New Roman" w:eastAsia="仿宋_GB2312" w:cs="Times New Roman"/>
                <w:color w:val="000000"/>
                <w:sz w:val="32"/>
                <w:szCs w:val="180"/>
                <w:lang w:val="en-US" w:eastAsia="zh-CN"/>
              </w:rPr>
              <w:t>发</w:t>
            </w:r>
            <w:r>
              <w:rPr>
                <w:rFonts w:hint="eastAsia" w:ascii="仿宋_GB2312" w:hAnsi="仿宋_GB2312" w:eastAsia="仿宋_GB2312" w:cs="仿宋_GB2312"/>
                <w:color w:val="000000"/>
                <w:sz w:val="32"/>
                <w:szCs w:val="180"/>
                <w:lang w:eastAsia="zh-CN"/>
              </w:rPr>
              <w:t>〔</w:t>
            </w:r>
            <w:r>
              <w:rPr>
                <w:rFonts w:hint="default" w:ascii="Times New Roman" w:hAnsi="Times New Roman" w:eastAsia="仿宋_GB2312" w:cs="Times New Roman"/>
                <w:color w:val="000000"/>
                <w:sz w:val="32"/>
                <w:szCs w:val="180"/>
                <w:lang w:val="en-US" w:eastAsia="zh-CN"/>
              </w:rPr>
              <w:t>2021</w:t>
            </w:r>
            <w:r>
              <w:rPr>
                <w:rFonts w:hint="default" w:ascii="Times New Roman" w:hAnsi="Times New Roman" w:eastAsia="仿宋_GB2312" w:cs="Times New Roman"/>
                <w:color w:val="000000"/>
                <w:sz w:val="32"/>
                <w:szCs w:val="180"/>
                <w:lang w:eastAsia="zh-CN"/>
              </w:rPr>
              <w:t>〕</w:t>
            </w:r>
            <w:r>
              <w:rPr>
                <w:rFonts w:hint="eastAsia" w:ascii="Times New Roman" w:hAnsi="Times New Roman" w:eastAsia="仿宋_GB2312" w:cs="Times New Roman"/>
                <w:color w:val="000000"/>
                <w:sz w:val="32"/>
                <w:szCs w:val="180"/>
                <w:lang w:val="en-US" w:eastAsia="zh-CN"/>
              </w:rPr>
              <w:t>141</w:t>
            </w:r>
            <w:r>
              <w:rPr>
                <w:rFonts w:hint="eastAsia" w:ascii="仿宋_GB2312" w:hAnsi="仿宋_GB2312" w:eastAsia="仿宋_GB2312" w:cs="仿宋_GB2312"/>
                <w:color w:val="000000"/>
                <w:sz w:val="32"/>
                <w:szCs w:val="180"/>
                <w:lang w:val="en-US" w:eastAsia="zh-CN"/>
              </w:rPr>
              <w:t>号</w:t>
            </w:r>
          </w:p>
        </w:tc>
      </w:tr>
    </w:tbl>
    <w:p>
      <w:pPr>
        <w:adjustRightInd w:val="0"/>
        <w:snapToGrid w:val="0"/>
        <w:jc w:val="center"/>
        <w:rPr>
          <w:rFonts w:hint="default" w:ascii="Times New Roman" w:hAnsi="Times New Roman" w:eastAsia="方正小标宋简体" w:cs="Times New Roman"/>
          <w:b w:val="0"/>
          <w:bCs w:val="0"/>
          <w:sz w:val="44"/>
          <w:szCs w:val="44"/>
          <w:lang w:val="en-US" w:eastAsia="zh-CN"/>
        </w:rPr>
      </w:pPr>
    </w:p>
    <w:p>
      <w:pPr>
        <w:adjustRightInd w:val="0"/>
        <w:snapToGrid w:val="0"/>
        <w:jc w:val="center"/>
        <w:rPr>
          <w:rFonts w:hint="default" w:ascii="Times New Roman" w:hAnsi="Times New Roman" w:eastAsia="方正小标宋简体" w:cs="Times New Roman"/>
          <w:sz w:val="44"/>
          <w:szCs w:val="48"/>
        </w:rPr>
      </w:pPr>
      <w:r>
        <w:rPr>
          <w:rFonts w:hint="default" w:ascii="Times New Roman" w:hAnsi="Times New Roman" w:eastAsia="方正小标宋简体" w:cs="Times New Roman"/>
          <w:b w:val="0"/>
          <w:bCs w:val="0"/>
          <w:sz w:val="44"/>
          <w:szCs w:val="44"/>
          <w:lang w:val="en-US" w:eastAsia="zh-CN"/>
        </w:rPr>
        <w:t>关于印发《</w:t>
      </w:r>
      <w:r>
        <w:rPr>
          <w:rFonts w:hint="default" w:ascii="Times New Roman" w:hAnsi="Times New Roman" w:eastAsia="方正小标宋简体" w:cs="Times New Roman"/>
          <w:sz w:val="44"/>
          <w:szCs w:val="48"/>
        </w:rPr>
        <w:t>淄博市2021—2022年秋冬季</w:t>
      </w:r>
    </w:p>
    <w:p>
      <w:pPr>
        <w:adjustRightInd w:val="0"/>
        <w:snapToGrid w:val="0"/>
        <w:jc w:val="center"/>
        <w:rPr>
          <w:rFonts w:hint="default" w:ascii="Times New Roman" w:hAnsi="Times New Roman" w:eastAsia="方正小标宋简体" w:cs="Times New Roman"/>
          <w:b w:val="0"/>
          <w:bCs w:val="0"/>
          <w:color w:val="auto"/>
          <w:sz w:val="44"/>
          <w:szCs w:val="44"/>
          <w:lang w:val="en-US" w:eastAsia="zh-CN"/>
        </w:rPr>
      </w:pPr>
      <w:r>
        <w:rPr>
          <w:rFonts w:hint="default" w:ascii="Times New Roman" w:hAnsi="Times New Roman" w:eastAsia="方正小标宋简体" w:cs="Times New Roman"/>
          <w:sz w:val="44"/>
          <w:szCs w:val="48"/>
        </w:rPr>
        <w:t>大气污染综合治理攻坚行动实施方案</w:t>
      </w:r>
      <w:r>
        <w:rPr>
          <w:rFonts w:hint="default" w:ascii="Times New Roman" w:hAnsi="Times New Roman" w:eastAsia="方正小标宋简体" w:cs="Times New Roman"/>
          <w:b w:val="0"/>
          <w:bCs w:val="0"/>
          <w:color w:val="auto"/>
          <w:sz w:val="44"/>
          <w:szCs w:val="44"/>
          <w:lang w:val="en-US" w:eastAsia="zh-CN"/>
        </w:rPr>
        <w:t>》的通知</w:t>
      </w:r>
    </w:p>
    <w:p>
      <w:pPr>
        <w:keepNext w:val="0"/>
        <w:keepLines w:val="0"/>
        <w:pageBreakBefore w:val="0"/>
        <w:widowControl w:val="0"/>
        <w:kinsoku/>
        <w:wordWrap/>
        <w:overflowPunct/>
        <w:topLinePunct w:val="0"/>
        <w:autoSpaceDE/>
        <w:autoSpaceDN/>
        <w:bidi w:val="0"/>
        <w:adjustRightInd w:val="0"/>
        <w:snapToGrid w:val="0"/>
        <w:spacing w:beforeLines="0" w:afterLines="0" w:line="240" w:lineRule="auto"/>
        <w:ind w:firstLine="0" w:firstLineChars="0"/>
        <w:textAlignment w:val="auto"/>
        <w:rPr>
          <w:rFonts w:hint="default" w:ascii="Times New Roman" w:hAnsi="Times New Roman" w:eastAsia="仿宋_GB2312" w:cs="Times New Roman"/>
          <w:sz w:val="32"/>
          <w:szCs w:val="22"/>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0" w:firstLineChars="0"/>
        <w:textAlignment w:val="auto"/>
        <w:outlineLvl w:val="9"/>
        <w:rPr>
          <w:rFonts w:ascii="Times New Roman" w:hAnsi="Times New Roman" w:eastAsia="仿宋_GB2312" w:cs="Times New Roman"/>
          <w:sz w:val="32"/>
          <w:szCs w:val="22"/>
        </w:rPr>
      </w:pPr>
      <w:r>
        <w:rPr>
          <w:rFonts w:hint="default" w:ascii="Times New Roman" w:hAnsi="Times New Roman" w:eastAsia="仿宋_GB2312" w:cs="Times New Roman"/>
          <w:sz w:val="32"/>
          <w:szCs w:val="22"/>
        </w:rPr>
        <w:t>各区县人民政府，高新区、经济开发区、文昌湖区管委会</w:t>
      </w:r>
      <w:r>
        <w:rPr>
          <w:rFonts w:hint="eastAsia" w:ascii="Times New Roman" w:hAnsi="Times New Roman" w:eastAsia="仿宋_GB2312" w:cs="Times New Roman"/>
          <w:sz w:val="32"/>
          <w:szCs w:val="22"/>
          <w:lang w:eastAsia="zh-CN"/>
        </w:rPr>
        <w:t>，</w:t>
      </w:r>
      <w:r>
        <w:rPr>
          <w:rFonts w:hint="eastAsia" w:ascii="Times New Roman" w:hAnsi="Times New Roman" w:eastAsia="仿宋_GB2312" w:cs="Times New Roman"/>
          <w:sz w:val="32"/>
          <w:szCs w:val="22"/>
          <w:lang w:val="en-US" w:eastAsia="zh-CN"/>
        </w:rPr>
        <w:t>市直有关部门，有关单位</w:t>
      </w:r>
      <w:r>
        <w:rPr>
          <w:rFonts w:ascii="Times New Roman" w:hAnsi="Times New Roman" w:eastAsia="仿宋_GB2312" w:cs="Times New Roman"/>
          <w:sz w:val="32"/>
          <w:szCs w:val="22"/>
        </w:rPr>
        <w:t>:</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outlineLvl w:val="9"/>
        <w:rPr>
          <w:rFonts w:hint="default" w:ascii="Times New Roman" w:hAnsi="Times New Roman" w:eastAsia="仿宋_GB2312" w:cs="Times New Roman"/>
          <w:b w:val="0"/>
          <w:bCs w:val="0"/>
          <w:sz w:val="32"/>
          <w:szCs w:val="40"/>
          <w:lang w:val="en-US" w:eastAsia="zh-CN"/>
        </w:rPr>
      </w:pPr>
      <w:r>
        <w:rPr>
          <w:rFonts w:hint="eastAsia" w:ascii="Times New Roman" w:hAnsi="Times New Roman" w:eastAsia="仿宋_GB2312" w:cs="Times New Roman"/>
          <w:b w:val="0"/>
          <w:bCs w:val="0"/>
          <w:sz w:val="32"/>
          <w:szCs w:val="40"/>
          <w:lang w:val="en-US" w:eastAsia="zh-CN"/>
        </w:rPr>
        <w:t xml:space="preserve">    现将《</w:t>
      </w:r>
      <w:r>
        <w:rPr>
          <w:rFonts w:hint="default" w:ascii="Times New Roman" w:hAnsi="Times New Roman" w:eastAsia="仿宋_GB2312" w:cs="Times New Roman"/>
          <w:b w:val="0"/>
          <w:bCs w:val="0"/>
          <w:sz w:val="32"/>
          <w:szCs w:val="40"/>
          <w:lang w:val="en-US" w:eastAsia="zh-CN"/>
        </w:rPr>
        <w:t>淄博市2021—2022年秋冬季大气污染综合治理攻坚行动实施方案</w:t>
      </w:r>
      <w:r>
        <w:rPr>
          <w:rFonts w:hint="eastAsia" w:ascii="Times New Roman" w:hAnsi="Times New Roman" w:eastAsia="仿宋_GB2312" w:cs="Times New Roman"/>
          <w:b w:val="0"/>
          <w:bCs w:val="0"/>
          <w:sz w:val="32"/>
          <w:szCs w:val="40"/>
          <w:lang w:val="en-US" w:eastAsia="zh-CN"/>
        </w:rPr>
        <w:t>》印发给你们，请结合实际认真抓好贯彻落实。</w:t>
      </w:r>
    </w:p>
    <w:p>
      <w:pPr>
        <w:pStyle w:val="2"/>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p>
    <w:p>
      <w:pPr>
        <w:pStyle w:val="2"/>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rPr>
      </w:pPr>
    </w:p>
    <w:p>
      <w:pPr>
        <w:rPr>
          <w:rFonts w:hint="eastAsia"/>
        </w:rPr>
      </w:pPr>
    </w:p>
    <w:p>
      <w:pPr>
        <w:keepNext w:val="0"/>
        <w:keepLines w:val="0"/>
        <w:pageBreakBefore w:val="0"/>
        <w:widowControl w:val="0"/>
        <w:kinsoku/>
        <w:wordWrap/>
        <w:overflowPunct/>
        <w:topLinePunct w:val="0"/>
        <w:autoSpaceDE/>
        <w:autoSpaceDN/>
        <w:bidi w:val="0"/>
        <w:adjustRightInd w:val="0"/>
        <w:snapToGrid w:val="0"/>
        <w:spacing w:line="520" w:lineRule="exact"/>
        <w:ind w:firstLine="960" w:firstLineChars="3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淄博市生态环境局        淄博市发展和改革委员会</w:t>
      </w:r>
    </w:p>
    <w:p>
      <w:pPr>
        <w:pStyle w:val="2"/>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pStyle w:val="2"/>
        <w:keepNext w:val="0"/>
        <w:keepLines w:val="0"/>
        <w:pageBreakBefore w:val="0"/>
        <w:kinsoku/>
        <w:wordWrap/>
        <w:overflowPunct/>
        <w:topLinePunct w:val="0"/>
        <w:autoSpaceDE/>
        <w:autoSpaceDN/>
        <w:bidi w:val="0"/>
        <w:adjustRightInd w:val="0"/>
        <w:snapToGrid w:val="0"/>
        <w:spacing w:line="520" w:lineRule="exact"/>
        <w:textAlignment w:val="auto"/>
        <w:rPr>
          <w:rFonts w:hint="default"/>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ind w:firstLine="700" w:firstLineChars="219"/>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淄博市工业和信息化局  </w:t>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ab/>
      </w:r>
      <w:r>
        <w:rPr>
          <w:rFonts w:hint="eastAsia" w:ascii="仿宋_GB2312" w:hAnsi="仿宋_GB2312" w:eastAsia="仿宋_GB2312" w:cs="仿宋_GB2312"/>
          <w:b w:val="0"/>
          <w:bCs w:val="0"/>
          <w:sz w:val="32"/>
          <w:szCs w:val="32"/>
          <w:lang w:val="en-US" w:eastAsia="zh-CN"/>
        </w:rPr>
        <w:t xml:space="preserve">  </w:t>
      </w:r>
      <w:r>
        <w:rPr>
          <w:rFonts w:hint="eastAsia"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淄博市公安局</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textAlignment w:val="auto"/>
        <w:rPr>
          <w:rFonts w:hint="eastAsia"/>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ind w:firstLine="1340" w:firstLineChars="419"/>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 xml:space="preserve">淄博市财政局         </w:t>
      </w:r>
      <w:r>
        <w:rPr>
          <w:rFonts w:hint="eastAsia"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淄博市自然资源和规划局</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b w:val="0"/>
          <w:bCs w:val="0"/>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ind w:firstLine="700" w:firstLineChars="219"/>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淄博市住房和城乡建设局      </w:t>
      </w:r>
      <w:r>
        <w:rPr>
          <w:rFonts w:hint="eastAsia"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淄博市交通运输局</w:t>
      </w:r>
    </w:p>
    <w:p>
      <w:pPr>
        <w:pStyle w:val="2"/>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ind w:firstLine="1340" w:firstLineChars="419"/>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淄博市水利局</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ab/>
      </w:r>
      <w:r>
        <w:rPr>
          <w:rFonts w:hint="eastAsia"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淄博市农业农村局</w:t>
      </w: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ind w:firstLine="1340" w:firstLineChars="419"/>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淄博市商务局            </w:t>
      </w:r>
      <w:r>
        <w:rPr>
          <w:rFonts w:hint="eastAsia"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淄博市应急管理局  </w:t>
      </w: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jc w:val="center"/>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ind w:firstLine="700" w:firstLineChars="219"/>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淄博市市场监督管理局       </w:t>
      </w:r>
      <w:r>
        <w:rPr>
          <w:rFonts w:hint="eastAsia"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淄博市城市管理局</w:t>
      </w: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20" w:lineRule="exact"/>
        <w:textAlignment w:val="auto"/>
        <w:rPr>
          <w:rFonts w:hint="eastAsia" w:ascii="仿宋_GB2312" w:hAnsi="仿宋_GB2312" w:eastAsia="仿宋_GB2312" w:cs="仿宋_GB2312"/>
          <w:sz w:val="32"/>
          <w:szCs w:val="32"/>
          <w:lang w:val="en-US" w:eastAsia="zh-CN"/>
        </w:rPr>
      </w:pPr>
    </w:p>
    <w:p>
      <w:pPr>
        <w:pStyle w:val="2"/>
        <w:rPr>
          <w:rFonts w:hint="eastAsia"/>
          <w:lang w:val="en-US" w:eastAsia="zh-CN"/>
        </w:rPr>
      </w:pPr>
    </w:p>
    <w:p>
      <w:pPr>
        <w:pStyle w:val="2"/>
        <w:keepNext w:val="0"/>
        <w:keepLines w:val="0"/>
        <w:pageBreakBefore w:val="0"/>
        <w:kinsoku/>
        <w:wordWrap/>
        <w:overflowPunct/>
        <w:topLinePunct w:val="0"/>
        <w:autoSpaceDE/>
        <w:autoSpaceDN/>
        <w:bidi w:val="0"/>
        <w:adjustRightInd w:val="0"/>
        <w:snapToGrid w:val="0"/>
        <w:spacing w:line="520" w:lineRule="exact"/>
        <w:ind w:firstLine="5817" w:firstLineChars="1818"/>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淄博市气象局</w:t>
      </w:r>
      <w:r>
        <w:rPr>
          <w:rFonts w:hint="eastAsia" w:eastAsia="仿宋_GB2312" w:cs="仿宋_GB2312"/>
          <w:sz w:val="32"/>
          <w:szCs w:val="32"/>
          <w:lang w:val="en-US" w:eastAsia="zh-CN"/>
        </w:rPr>
        <w:t xml:space="preserve">    </w:t>
      </w:r>
    </w:p>
    <w:p>
      <w:pPr>
        <w:pStyle w:val="2"/>
        <w:keepNext w:val="0"/>
        <w:keepLines w:val="0"/>
        <w:pageBreakBefore w:val="0"/>
        <w:kinsoku/>
        <w:wordWrap/>
        <w:overflowPunct/>
        <w:topLinePunct w:val="0"/>
        <w:autoSpaceDE/>
        <w:autoSpaceDN/>
        <w:bidi w:val="0"/>
        <w:adjustRightInd w:val="0"/>
        <w:snapToGrid w:val="0"/>
        <w:spacing w:line="520" w:lineRule="exact"/>
        <w:ind w:left="0" w:leftChars="0" w:firstLine="0" w:firstLineChars="0"/>
        <w:textAlignment w:val="auto"/>
        <w:rPr>
          <w:rFonts w:hint="default" w:ascii="Times New Roman" w:hAnsi="Times New Roman" w:eastAsia="仿宋_GB2312" w:cs="Times New Roman"/>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r>
        <w:rPr>
          <w:rFonts w:hint="eastAsia" w:eastAsia="仿宋_GB2312" w:cs="仿宋_GB2312"/>
          <w:sz w:val="32"/>
          <w:szCs w:val="32"/>
          <w:lang w:val="en-US" w:eastAsia="zh-CN"/>
        </w:rPr>
        <w:t xml:space="preserve">  </w:t>
      </w:r>
      <w:r>
        <w:rPr>
          <w:rFonts w:hint="default" w:ascii="Times New Roman" w:hAnsi="Times New Roman" w:eastAsia="仿宋_GB2312" w:cs="Times New Roman"/>
          <w:sz w:val="32"/>
          <w:szCs w:val="32"/>
          <w:lang w:val="en-US" w:eastAsia="zh-CN"/>
        </w:rPr>
        <w:t>2021年11月12日</w:t>
      </w:r>
    </w:p>
    <w:p>
      <w:p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adjustRightInd w:val="0"/>
        <w:snapToGrid w:val="0"/>
        <w:jc w:val="center"/>
        <w:rPr>
          <w:rFonts w:eastAsia="方正小标宋简体" w:cs="Times New Roman"/>
          <w:sz w:val="44"/>
          <w:szCs w:val="48"/>
        </w:rPr>
      </w:pPr>
    </w:p>
    <w:p>
      <w:pPr>
        <w:adjustRightInd w:val="0"/>
        <w:snapToGrid w:val="0"/>
        <w:jc w:val="center"/>
        <w:rPr>
          <w:rFonts w:eastAsia="方正小标宋简体" w:cs="Times New Roman"/>
          <w:sz w:val="44"/>
          <w:szCs w:val="48"/>
        </w:rPr>
      </w:pPr>
      <w:r>
        <w:rPr>
          <w:rFonts w:eastAsia="方正小标宋简体" w:cs="Times New Roman"/>
          <w:sz w:val="44"/>
          <w:szCs w:val="48"/>
        </w:rPr>
        <w:t>淄博市2021—2022年秋冬季大气污染</w:t>
      </w:r>
    </w:p>
    <w:p>
      <w:pPr>
        <w:adjustRightInd w:val="0"/>
        <w:snapToGrid w:val="0"/>
        <w:jc w:val="center"/>
        <w:rPr>
          <w:rFonts w:eastAsia="方正小标宋简体" w:cs="Times New Roman"/>
          <w:sz w:val="44"/>
          <w:szCs w:val="48"/>
        </w:rPr>
      </w:pPr>
      <w:r>
        <w:rPr>
          <w:rFonts w:eastAsia="方正小标宋简体" w:cs="Times New Roman"/>
          <w:sz w:val="44"/>
          <w:szCs w:val="48"/>
        </w:rPr>
        <w:t>综合治理攻坚行动实施方案</w:t>
      </w:r>
    </w:p>
    <w:p>
      <w:pPr>
        <w:adjustRightInd w:val="0"/>
        <w:snapToGrid w:val="0"/>
        <w:rPr>
          <w:rFonts w:eastAsia="方正小标宋简体" w:cs="Times New Roman"/>
          <w:sz w:val="44"/>
          <w:szCs w:val="48"/>
        </w:rPr>
      </w:pPr>
    </w:p>
    <w:p>
      <w:pPr>
        <w:adjustRightInd w:val="0"/>
        <w:snapToGrid w:val="0"/>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为扎实做好2021—2022年秋冬季大气污染综合治理攻坚行动，全面推动我市环境空气质量持续改善，现制定实施方案如下：</w:t>
      </w:r>
    </w:p>
    <w:p>
      <w:pPr>
        <w:adjustRightInd w:val="0"/>
        <w:snapToGrid w:val="0"/>
        <w:spacing w:line="560" w:lineRule="exact"/>
        <w:ind w:firstLine="640" w:firstLineChars="200"/>
        <w:outlineLvl w:val="0"/>
        <w:rPr>
          <w:rFonts w:eastAsia="黑体" w:cs="Times New Roman"/>
          <w:color w:val="000000"/>
          <w:sz w:val="32"/>
          <w:szCs w:val="32"/>
        </w:rPr>
      </w:pPr>
      <w:r>
        <w:rPr>
          <w:rFonts w:eastAsia="黑体" w:cs="Times New Roman"/>
          <w:color w:val="000000"/>
          <w:sz w:val="32"/>
          <w:szCs w:val="32"/>
        </w:rPr>
        <w:t>一、总体要求</w:t>
      </w:r>
    </w:p>
    <w:p>
      <w:pPr>
        <w:adjustRightInd w:val="0"/>
        <w:snapToGrid w:val="0"/>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秋冬季期间（2021年10月—2022年3月），全市PM</w:t>
      </w:r>
      <w:r>
        <w:rPr>
          <w:rFonts w:eastAsia="仿宋_GB2312" w:cs="Times New Roman"/>
          <w:color w:val="000000"/>
          <w:sz w:val="32"/>
          <w:szCs w:val="32"/>
          <w:vertAlign w:val="subscript"/>
        </w:rPr>
        <w:t>2.5</w:t>
      </w:r>
      <w:r>
        <w:rPr>
          <w:rFonts w:eastAsia="仿宋_GB2312" w:cs="Times New Roman"/>
          <w:color w:val="000000"/>
          <w:sz w:val="32"/>
          <w:szCs w:val="32"/>
        </w:rPr>
        <w:t>平均浓度</w:t>
      </w:r>
      <w:r>
        <w:rPr>
          <w:rFonts w:hint="eastAsia" w:eastAsia="仿宋_GB2312" w:cs="Times New Roman"/>
          <w:color w:val="000000"/>
          <w:sz w:val="32"/>
          <w:szCs w:val="32"/>
        </w:rPr>
        <w:t>控制在66.7微克/立方米以内</w:t>
      </w:r>
      <w:r>
        <w:rPr>
          <w:rFonts w:eastAsia="仿宋_GB2312" w:cs="Times New Roman"/>
          <w:color w:val="000000"/>
          <w:sz w:val="32"/>
          <w:szCs w:val="32"/>
        </w:rPr>
        <w:t>，重度及以上污染天数</w:t>
      </w:r>
      <w:r>
        <w:rPr>
          <w:rFonts w:hint="eastAsia" w:eastAsia="仿宋_GB2312" w:cs="Times New Roman"/>
          <w:color w:val="000000"/>
          <w:sz w:val="32"/>
          <w:szCs w:val="32"/>
        </w:rPr>
        <w:t>控制在10</w:t>
      </w:r>
      <w:r>
        <w:rPr>
          <w:rFonts w:eastAsia="仿宋_GB2312" w:cs="Times New Roman"/>
          <w:color w:val="000000"/>
          <w:sz w:val="32"/>
          <w:szCs w:val="32"/>
        </w:rPr>
        <w:t>天以</w:t>
      </w:r>
      <w:r>
        <w:rPr>
          <w:rFonts w:hint="eastAsia" w:eastAsia="仿宋_GB2312" w:cs="Times New Roman"/>
          <w:color w:val="000000"/>
          <w:sz w:val="32"/>
          <w:szCs w:val="32"/>
        </w:rPr>
        <w:t>内（各区县具体目标见附件1）</w:t>
      </w:r>
      <w:r>
        <w:rPr>
          <w:rFonts w:eastAsia="仿宋_GB2312" w:cs="Times New Roman"/>
          <w:color w:val="000000"/>
          <w:sz w:val="32"/>
          <w:szCs w:val="32"/>
        </w:rPr>
        <w:t>。</w:t>
      </w:r>
    </w:p>
    <w:p>
      <w:pPr>
        <w:adjustRightInd w:val="0"/>
        <w:snapToGrid w:val="0"/>
        <w:spacing w:line="560" w:lineRule="exact"/>
        <w:ind w:firstLine="640" w:firstLineChars="200"/>
        <w:outlineLvl w:val="0"/>
        <w:rPr>
          <w:rFonts w:eastAsia="黑体" w:cs="Times New Roman"/>
          <w:color w:val="000000"/>
          <w:sz w:val="32"/>
          <w:szCs w:val="32"/>
        </w:rPr>
      </w:pPr>
      <w:r>
        <w:rPr>
          <w:rFonts w:eastAsia="黑体" w:cs="Times New Roman"/>
          <w:color w:val="000000"/>
          <w:sz w:val="32"/>
          <w:szCs w:val="32"/>
        </w:rPr>
        <w:t>二、重点任务</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（一）调整优化产业结构</w:t>
      </w:r>
    </w:p>
    <w:p>
      <w:pPr>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1.坚决遏制</w:t>
      </w:r>
      <w:r>
        <w:rPr>
          <w:rFonts w:hint="eastAsia" w:eastAsia="仿宋_GB2312" w:cs="Times New Roman"/>
          <w:b/>
          <w:bCs/>
          <w:color w:val="000000"/>
          <w:sz w:val="32"/>
          <w:szCs w:val="32"/>
        </w:rPr>
        <w:t>“</w:t>
      </w:r>
      <w:r>
        <w:rPr>
          <w:rFonts w:eastAsia="仿宋_GB2312" w:cs="Times New Roman"/>
          <w:b/>
          <w:bCs/>
          <w:color w:val="000000"/>
          <w:sz w:val="32"/>
          <w:szCs w:val="32"/>
        </w:rPr>
        <w:t>两高</w:t>
      </w:r>
      <w:r>
        <w:rPr>
          <w:rFonts w:hint="eastAsia" w:eastAsia="仿宋_GB2312" w:cs="Times New Roman"/>
          <w:b/>
          <w:bCs/>
          <w:color w:val="000000"/>
          <w:sz w:val="32"/>
          <w:szCs w:val="32"/>
        </w:rPr>
        <w:t>”</w:t>
      </w:r>
      <w:r>
        <w:rPr>
          <w:rFonts w:eastAsia="仿宋_GB2312" w:cs="Times New Roman"/>
          <w:b/>
          <w:bCs/>
          <w:color w:val="000000"/>
          <w:sz w:val="32"/>
          <w:szCs w:val="32"/>
        </w:rPr>
        <w:t>项目盲目发展。</w:t>
      </w:r>
      <w:r>
        <w:rPr>
          <w:rFonts w:eastAsia="仿宋_GB2312" w:cs="Times New Roman"/>
          <w:color w:val="000000"/>
          <w:sz w:val="32"/>
          <w:szCs w:val="32"/>
        </w:rPr>
        <w:t>深入贯彻落实党中央、国务院关于坚决遏制</w:t>
      </w:r>
      <w:r>
        <w:rPr>
          <w:rFonts w:hint="eastAsia" w:eastAsia="仿宋_GB2312" w:cs="Times New Roman"/>
          <w:color w:val="000000"/>
          <w:sz w:val="32"/>
          <w:szCs w:val="32"/>
        </w:rPr>
        <w:t>“</w:t>
      </w:r>
      <w:r>
        <w:rPr>
          <w:rFonts w:eastAsia="仿宋_GB2312" w:cs="Times New Roman"/>
          <w:color w:val="000000"/>
          <w:sz w:val="32"/>
          <w:szCs w:val="32"/>
        </w:rPr>
        <w:t>两高</w:t>
      </w:r>
      <w:r>
        <w:rPr>
          <w:rFonts w:hint="eastAsia" w:eastAsia="仿宋_GB2312" w:cs="Times New Roman"/>
          <w:color w:val="000000"/>
          <w:sz w:val="32"/>
          <w:szCs w:val="32"/>
        </w:rPr>
        <w:t>”</w:t>
      </w:r>
      <w:r>
        <w:rPr>
          <w:rFonts w:eastAsia="仿宋_GB2312" w:cs="Times New Roman"/>
          <w:color w:val="000000"/>
          <w:sz w:val="32"/>
          <w:szCs w:val="32"/>
        </w:rPr>
        <w:t>项目盲目发展相关决策部署，按照《关于加强高耗能、高排放建设项目生态环境源头防控的指导意见》《关于印发坚决遏制</w:t>
      </w:r>
      <w:r>
        <w:rPr>
          <w:rFonts w:hint="eastAsia" w:eastAsia="仿宋_GB2312" w:cs="Times New Roman"/>
          <w:color w:val="000000"/>
          <w:sz w:val="32"/>
          <w:szCs w:val="32"/>
        </w:rPr>
        <w:t>“</w:t>
      </w:r>
      <w:r>
        <w:rPr>
          <w:rFonts w:eastAsia="仿宋_GB2312" w:cs="Times New Roman"/>
          <w:color w:val="000000"/>
          <w:sz w:val="32"/>
          <w:szCs w:val="32"/>
        </w:rPr>
        <w:t>两高</w:t>
      </w:r>
      <w:r>
        <w:rPr>
          <w:rFonts w:hint="eastAsia" w:eastAsia="仿宋_GB2312" w:cs="Times New Roman"/>
          <w:color w:val="000000"/>
          <w:sz w:val="32"/>
          <w:szCs w:val="32"/>
        </w:rPr>
        <w:t>”</w:t>
      </w:r>
      <w:r>
        <w:rPr>
          <w:rFonts w:eastAsia="仿宋_GB2312" w:cs="Times New Roman"/>
          <w:color w:val="000000"/>
          <w:sz w:val="32"/>
          <w:szCs w:val="32"/>
        </w:rPr>
        <w:t>项目盲目发展的若干措施的通知》等文件要求，</w:t>
      </w:r>
      <w:r>
        <w:rPr>
          <w:rFonts w:hint="eastAsia" w:eastAsia="仿宋_GB2312" w:cs="Times New Roman"/>
          <w:color w:val="000000"/>
          <w:sz w:val="32"/>
          <w:szCs w:val="32"/>
        </w:rPr>
        <w:t>围绕煤电、炼化、钢铁等16个行业投资项目</w:t>
      </w:r>
      <w:r>
        <w:rPr>
          <w:rFonts w:eastAsia="仿宋_GB2312" w:cs="Times New Roman"/>
          <w:color w:val="000000"/>
          <w:sz w:val="32"/>
          <w:szCs w:val="32"/>
        </w:rPr>
        <w:t>，全面梳理排查拟建、在建和存量</w:t>
      </w:r>
      <w:r>
        <w:rPr>
          <w:rFonts w:hint="eastAsia" w:eastAsia="仿宋_GB2312" w:cs="Times New Roman"/>
          <w:color w:val="000000"/>
          <w:sz w:val="32"/>
          <w:szCs w:val="32"/>
        </w:rPr>
        <w:t>“</w:t>
      </w:r>
      <w:r>
        <w:rPr>
          <w:rFonts w:eastAsia="仿宋_GB2312" w:cs="Times New Roman"/>
          <w:color w:val="000000"/>
          <w:sz w:val="32"/>
          <w:szCs w:val="32"/>
        </w:rPr>
        <w:t>两高</w:t>
      </w:r>
      <w:r>
        <w:rPr>
          <w:rFonts w:hint="eastAsia" w:eastAsia="仿宋_GB2312" w:cs="Times New Roman"/>
          <w:color w:val="000000"/>
          <w:sz w:val="32"/>
          <w:szCs w:val="32"/>
        </w:rPr>
        <w:t>”</w:t>
      </w:r>
      <w:r>
        <w:rPr>
          <w:rFonts w:eastAsia="仿宋_GB2312" w:cs="Times New Roman"/>
          <w:color w:val="000000"/>
          <w:sz w:val="32"/>
          <w:szCs w:val="32"/>
        </w:rPr>
        <w:t>项目，对</w:t>
      </w:r>
      <w:r>
        <w:rPr>
          <w:rFonts w:hint="eastAsia" w:eastAsia="仿宋_GB2312" w:cs="Times New Roman"/>
          <w:color w:val="000000"/>
          <w:sz w:val="32"/>
          <w:szCs w:val="32"/>
        </w:rPr>
        <w:t>“</w:t>
      </w:r>
      <w:r>
        <w:rPr>
          <w:rFonts w:eastAsia="仿宋_GB2312" w:cs="Times New Roman"/>
          <w:color w:val="000000"/>
          <w:sz w:val="32"/>
          <w:szCs w:val="32"/>
        </w:rPr>
        <w:t>两高</w:t>
      </w:r>
      <w:r>
        <w:rPr>
          <w:rFonts w:hint="eastAsia" w:eastAsia="仿宋_GB2312" w:cs="Times New Roman"/>
          <w:color w:val="000000"/>
          <w:sz w:val="32"/>
          <w:szCs w:val="32"/>
        </w:rPr>
        <w:t>”</w:t>
      </w:r>
      <w:r>
        <w:rPr>
          <w:rFonts w:eastAsia="仿宋_GB2312" w:cs="Times New Roman"/>
          <w:color w:val="000000"/>
          <w:sz w:val="32"/>
          <w:szCs w:val="32"/>
        </w:rPr>
        <w:t>项目实行清单管理，进行分类处置、动态监控。严格</w:t>
      </w:r>
      <w:r>
        <w:rPr>
          <w:rFonts w:hint="eastAsia" w:eastAsia="仿宋_GB2312" w:cs="Times New Roman"/>
          <w:color w:val="000000"/>
          <w:sz w:val="32"/>
          <w:szCs w:val="32"/>
        </w:rPr>
        <w:t>实行</w:t>
      </w:r>
      <w:r>
        <w:rPr>
          <w:rFonts w:eastAsia="仿宋_GB2312" w:cs="Times New Roman"/>
          <w:color w:val="000000"/>
          <w:sz w:val="32"/>
          <w:szCs w:val="32"/>
        </w:rPr>
        <w:t>产能、煤耗、能耗、碳排放、污染物排放</w:t>
      </w:r>
      <w:r>
        <w:rPr>
          <w:rFonts w:hint="eastAsia" w:eastAsia="仿宋_GB2312" w:cs="Times New Roman"/>
          <w:color w:val="000000"/>
          <w:sz w:val="32"/>
          <w:szCs w:val="32"/>
        </w:rPr>
        <w:t>“</w:t>
      </w:r>
      <w:r>
        <w:rPr>
          <w:rFonts w:eastAsia="仿宋_GB2312" w:cs="Times New Roman"/>
          <w:color w:val="000000"/>
          <w:sz w:val="32"/>
          <w:szCs w:val="32"/>
        </w:rPr>
        <w:t>五个减量</w:t>
      </w:r>
      <w:r>
        <w:rPr>
          <w:rFonts w:hint="eastAsia" w:eastAsia="仿宋_GB2312" w:cs="Times New Roman"/>
          <w:color w:val="000000"/>
          <w:sz w:val="32"/>
          <w:szCs w:val="32"/>
        </w:rPr>
        <w:t>”</w:t>
      </w:r>
      <w:r>
        <w:rPr>
          <w:rFonts w:eastAsia="仿宋_GB2312" w:cs="Times New Roman"/>
          <w:color w:val="000000"/>
          <w:sz w:val="32"/>
          <w:szCs w:val="32"/>
        </w:rPr>
        <w:t>替代，不符合要求的</w:t>
      </w:r>
      <w:r>
        <w:rPr>
          <w:rFonts w:hint="eastAsia" w:eastAsia="仿宋_GB2312" w:cs="Times New Roman"/>
          <w:color w:val="000000"/>
          <w:sz w:val="32"/>
          <w:szCs w:val="32"/>
        </w:rPr>
        <w:t>“</w:t>
      </w:r>
      <w:r>
        <w:rPr>
          <w:rFonts w:eastAsia="仿宋_GB2312" w:cs="Times New Roman"/>
          <w:color w:val="000000"/>
          <w:sz w:val="32"/>
          <w:szCs w:val="32"/>
        </w:rPr>
        <w:t>两高</w:t>
      </w:r>
      <w:r>
        <w:rPr>
          <w:rFonts w:hint="eastAsia" w:eastAsia="仿宋_GB2312" w:cs="Times New Roman"/>
          <w:color w:val="000000"/>
          <w:sz w:val="32"/>
          <w:szCs w:val="32"/>
        </w:rPr>
        <w:t>”</w:t>
      </w:r>
      <w:r>
        <w:rPr>
          <w:rFonts w:eastAsia="仿宋_GB2312" w:cs="Times New Roman"/>
          <w:color w:val="000000"/>
          <w:sz w:val="32"/>
          <w:szCs w:val="32"/>
        </w:rPr>
        <w:t>项目要坚决整改。认真开展自查自纠，严查违规上马、未批先建项目，严格依法查处违法违规企业。对标国内外产品能效、环保先进水平，推动在建和拟建</w:t>
      </w:r>
      <w:r>
        <w:rPr>
          <w:rFonts w:hint="eastAsia" w:eastAsia="仿宋_GB2312" w:cs="Times New Roman"/>
          <w:color w:val="000000"/>
          <w:sz w:val="32"/>
          <w:szCs w:val="32"/>
        </w:rPr>
        <w:t>“</w:t>
      </w:r>
      <w:r>
        <w:rPr>
          <w:rFonts w:eastAsia="仿宋_GB2312" w:cs="Times New Roman"/>
          <w:color w:val="000000"/>
          <w:sz w:val="32"/>
          <w:szCs w:val="32"/>
        </w:rPr>
        <w:t>两高</w:t>
      </w:r>
      <w:r>
        <w:rPr>
          <w:rFonts w:hint="eastAsia" w:eastAsia="仿宋_GB2312" w:cs="Times New Roman"/>
          <w:color w:val="000000"/>
          <w:sz w:val="32"/>
          <w:szCs w:val="32"/>
        </w:rPr>
        <w:t>”</w:t>
      </w:r>
      <w:r>
        <w:rPr>
          <w:rFonts w:eastAsia="仿宋_GB2312" w:cs="Times New Roman"/>
          <w:color w:val="000000"/>
          <w:sz w:val="32"/>
          <w:szCs w:val="32"/>
        </w:rPr>
        <w:t>项目能效、环保水平提升，推进存量</w:t>
      </w:r>
      <w:r>
        <w:rPr>
          <w:rFonts w:hint="eastAsia" w:eastAsia="仿宋_GB2312" w:cs="Times New Roman"/>
          <w:color w:val="000000"/>
          <w:sz w:val="32"/>
          <w:szCs w:val="32"/>
        </w:rPr>
        <w:t>“</w:t>
      </w:r>
      <w:r>
        <w:rPr>
          <w:rFonts w:eastAsia="仿宋_GB2312" w:cs="Times New Roman"/>
          <w:color w:val="000000"/>
          <w:sz w:val="32"/>
          <w:szCs w:val="32"/>
        </w:rPr>
        <w:t>两高</w:t>
      </w:r>
      <w:r>
        <w:rPr>
          <w:rFonts w:hint="eastAsia" w:eastAsia="仿宋_GB2312" w:cs="Times New Roman"/>
          <w:color w:val="000000"/>
          <w:sz w:val="32"/>
          <w:szCs w:val="32"/>
        </w:rPr>
        <w:t>”</w:t>
      </w:r>
      <w:r>
        <w:rPr>
          <w:rFonts w:eastAsia="仿宋_GB2312" w:cs="Times New Roman"/>
          <w:color w:val="000000"/>
          <w:sz w:val="32"/>
          <w:szCs w:val="32"/>
        </w:rPr>
        <w:t>项目改造升级。严厉打击</w:t>
      </w:r>
      <w:r>
        <w:rPr>
          <w:rFonts w:hint="eastAsia" w:eastAsia="仿宋_GB2312" w:cs="Times New Roman"/>
          <w:color w:val="000000"/>
          <w:sz w:val="32"/>
          <w:szCs w:val="32"/>
        </w:rPr>
        <w:t>“</w:t>
      </w:r>
      <w:r>
        <w:rPr>
          <w:rFonts w:eastAsia="仿宋_GB2312" w:cs="Times New Roman"/>
          <w:color w:val="000000"/>
          <w:sz w:val="32"/>
          <w:szCs w:val="32"/>
        </w:rPr>
        <w:t>两高</w:t>
      </w:r>
      <w:r>
        <w:rPr>
          <w:rFonts w:hint="eastAsia" w:eastAsia="仿宋_GB2312" w:cs="Times New Roman"/>
          <w:color w:val="000000"/>
          <w:sz w:val="32"/>
          <w:szCs w:val="32"/>
        </w:rPr>
        <w:t>”</w:t>
      </w:r>
      <w:r>
        <w:rPr>
          <w:rFonts w:eastAsia="仿宋_GB2312" w:cs="Times New Roman"/>
          <w:color w:val="000000"/>
          <w:sz w:val="32"/>
          <w:szCs w:val="32"/>
        </w:rPr>
        <w:t>企业无证排污、不按证排污等各类违法行为，及时曝光违反排污许可制度的典型案例。</w:t>
      </w:r>
      <w:r>
        <w:rPr>
          <w:rFonts w:eastAsia="楷体_GB2312" w:cs="Times New Roman"/>
          <w:color w:val="000000"/>
          <w:sz w:val="32"/>
          <w:szCs w:val="32"/>
        </w:rPr>
        <w:t>（市发展改革委、市生态环境局牵头，各区县政府</w:t>
      </w:r>
      <w:r>
        <w:rPr>
          <w:rFonts w:hint="eastAsia" w:eastAsia="楷体_GB2312" w:cs="Times New Roman"/>
          <w:color w:val="000000"/>
          <w:sz w:val="32"/>
          <w:szCs w:val="32"/>
          <w:lang w:eastAsia="zh-CN"/>
        </w:rPr>
        <w:t>，</w:t>
      </w:r>
      <w:r>
        <w:rPr>
          <w:rFonts w:eastAsia="楷体_GB2312" w:cs="Times New Roman"/>
          <w:color w:val="000000"/>
          <w:sz w:val="32"/>
          <w:szCs w:val="32"/>
        </w:rPr>
        <w:t>高新区、经济开发区、文昌湖区管委会负责落实，以下任务均需各区县人民政府、管委会落实，不再列出）</w:t>
      </w:r>
    </w:p>
    <w:p>
      <w:pPr>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2.落实钢铁行业化解过剩产能决策部署。</w:t>
      </w:r>
      <w:r>
        <w:rPr>
          <w:rFonts w:eastAsia="仿宋_GB2312" w:cs="Times New Roman"/>
          <w:color w:val="000000"/>
          <w:sz w:val="32"/>
          <w:szCs w:val="32"/>
        </w:rPr>
        <w:t>贯彻落实党中央、国务院关于钢铁行业化解过剩产能以及粗钢产量压减决策部署，持续推进淄博隆盛钢铁有限公司、淄博齐林傅山钢铁有限公司2家钢铁企业的产能化解转移任务。做好钢铁去产能</w:t>
      </w:r>
      <w:r>
        <w:rPr>
          <w:rFonts w:hint="eastAsia" w:eastAsia="仿宋_GB2312" w:cs="Times New Roman"/>
          <w:color w:val="000000"/>
          <w:sz w:val="32"/>
          <w:szCs w:val="32"/>
        </w:rPr>
        <w:t>“</w:t>
      </w:r>
      <w:r>
        <w:rPr>
          <w:rFonts w:eastAsia="仿宋_GB2312" w:cs="Times New Roman"/>
          <w:color w:val="000000"/>
          <w:sz w:val="32"/>
          <w:szCs w:val="32"/>
        </w:rPr>
        <w:t>回头看</w:t>
      </w:r>
      <w:r>
        <w:rPr>
          <w:rFonts w:hint="eastAsia" w:eastAsia="仿宋_GB2312" w:cs="Times New Roman"/>
          <w:color w:val="000000"/>
          <w:sz w:val="32"/>
          <w:szCs w:val="32"/>
        </w:rPr>
        <w:t>”</w:t>
      </w:r>
      <w:r>
        <w:rPr>
          <w:rFonts w:eastAsia="仿宋_GB2312" w:cs="Times New Roman"/>
          <w:color w:val="000000"/>
          <w:sz w:val="32"/>
          <w:szCs w:val="32"/>
        </w:rPr>
        <w:t>工作，严防</w:t>
      </w:r>
      <w:r>
        <w:rPr>
          <w:rFonts w:hint="eastAsia" w:eastAsia="仿宋_GB2312" w:cs="Times New Roman"/>
          <w:color w:val="000000"/>
          <w:sz w:val="32"/>
          <w:szCs w:val="32"/>
        </w:rPr>
        <w:t>“</w:t>
      </w:r>
      <w:r>
        <w:rPr>
          <w:rFonts w:eastAsia="仿宋_GB2312" w:cs="Times New Roman"/>
          <w:color w:val="000000"/>
          <w:sz w:val="32"/>
          <w:szCs w:val="32"/>
        </w:rPr>
        <w:t>地条钢</w:t>
      </w:r>
      <w:r>
        <w:rPr>
          <w:rFonts w:hint="eastAsia" w:eastAsia="仿宋_GB2312" w:cs="Times New Roman"/>
          <w:color w:val="000000"/>
          <w:sz w:val="32"/>
          <w:szCs w:val="32"/>
        </w:rPr>
        <w:t>”</w:t>
      </w:r>
      <w:r>
        <w:rPr>
          <w:rFonts w:eastAsia="仿宋_GB2312" w:cs="Times New Roman"/>
          <w:color w:val="000000"/>
          <w:sz w:val="32"/>
          <w:szCs w:val="32"/>
        </w:rPr>
        <w:t>死灰复燃。严禁新增钢铁冶炼产能，严格环境准入，除搬迁、产能置换外，不得审批新增产能项目。新建钢铁项目投运前，用于置换的产能需同步退出。</w:t>
      </w:r>
      <w:r>
        <w:rPr>
          <w:rFonts w:eastAsia="楷体_GB2312" w:cs="Times New Roman"/>
          <w:color w:val="000000"/>
          <w:sz w:val="32"/>
          <w:szCs w:val="32"/>
        </w:rPr>
        <w:t>（市工业和信息化局牵头）</w:t>
      </w:r>
    </w:p>
    <w:p>
      <w:pPr>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3.淘汰其他行业落后和低效过剩产能。</w:t>
      </w:r>
      <w:r>
        <w:rPr>
          <w:rFonts w:eastAsia="仿宋_GB2312" w:cs="Times New Roman"/>
          <w:color w:val="000000"/>
          <w:sz w:val="32"/>
          <w:szCs w:val="32"/>
        </w:rPr>
        <w:t>对照《产业结构调整指导目录（2019年本）》开展摸底排查，重点加强对</w:t>
      </w:r>
      <w:r>
        <w:rPr>
          <w:rFonts w:hint="eastAsia" w:eastAsia="仿宋_GB2312" w:cs="Times New Roman"/>
          <w:color w:val="000000"/>
          <w:sz w:val="32"/>
          <w:szCs w:val="32"/>
        </w:rPr>
        <w:t>“</w:t>
      </w:r>
      <w:r>
        <w:rPr>
          <w:rFonts w:eastAsia="仿宋_GB2312" w:cs="Times New Roman"/>
          <w:color w:val="000000"/>
          <w:sz w:val="32"/>
          <w:szCs w:val="32"/>
        </w:rPr>
        <w:t>重质砖炉衬台车炉</w:t>
      </w:r>
      <w:r>
        <w:rPr>
          <w:rFonts w:hint="eastAsia" w:eastAsia="仿宋_GB2312" w:cs="Times New Roman"/>
          <w:color w:val="000000"/>
          <w:sz w:val="32"/>
          <w:szCs w:val="32"/>
        </w:rPr>
        <w:t>”</w:t>
      </w:r>
      <w:r>
        <w:rPr>
          <w:rFonts w:eastAsia="仿宋_GB2312" w:cs="Times New Roman"/>
          <w:color w:val="000000"/>
          <w:sz w:val="32"/>
          <w:szCs w:val="32"/>
        </w:rPr>
        <w:t>的淘汰。淘汰砂型铸造粘土烘干砂型及型芯工艺和砂型铸造油砂制芯工艺生产线，淘汰100万平方米/年（不含）以下的建筑陶瓷砖、20万件/年（不含）以下卫生陶瓷生产线，淘汰直径3米（不含）以下水泥粉磨设备（生产特种水泥除外）。</w:t>
      </w:r>
      <w:r>
        <w:rPr>
          <w:rFonts w:eastAsia="楷体_GB2312" w:cs="Times New Roman"/>
          <w:color w:val="000000"/>
          <w:sz w:val="32"/>
          <w:szCs w:val="32"/>
        </w:rPr>
        <w:t>（市工业和信息化局牵头）</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（二）调整优化能源结构</w:t>
      </w:r>
    </w:p>
    <w:p>
      <w:pPr>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4.削减煤炭消费总量。</w:t>
      </w:r>
      <w:r>
        <w:rPr>
          <w:rFonts w:eastAsia="仿宋_GB2312" w:cs="Times New Roman"/>
          <w:color w:val="000000"/>
          <w:sz w:val="32"/>
          <w:szCs w:val="32"/>
        </w:rPr>
        <w:t>进一步压减煤炭消费总量，2021年压减煤炭消费总量50万吨（当量值）。</w:t>
      </w:r>
      <w:r>
        <w:rPr>
          <w:rFonts w:eastAsia="楷体_GB2312" w:cs="Times New Roman"/>
          <w:color w:val="000000"/>
          <w:sz w:val="32"/>
          <w:szCs w:val="32"/>
        </w:rPr>
        <w:t>（市发展改革委牵头）</w:t>
      </w:r>
      <w:r>
        <w:rPr>
          <w:rFonts w:eastAsia="仿宋_GB2312" w:cs="Times New Roman"/>
          <w:sz w:val="32"/>
          <w:szCs w:val="24"/>
        </w:rPr>
        <w:t>持续推进全市范围内35蒸吨/小时燃煤锅炉淘汰，</w:t>
      </w:r>
      <w:r>
        <w:rPr>
          <w:rFonts w:eastAsia="仿宋_GB2312" w:cs="Times New Roman"/>
          <w:color w:val="000000"/>
          <w:sz w:val="32"/>
          <w:szCs w:val="32"/>
        </w:rPr>
        <w:t>2021年12月底前关停淘汰</w:t>
      </w:r>
      <w:r>
        <w:rPr>
          <w:rFonts w:hint="eastAsia" w:eastAsia="仿宋_GB2312" w:cs="Times New Roman"/>
          <w:color w:val="000000"/>
          <w:sz w:val="32"/>
          <w:szCs w:val="32"/>
          <w:lang w:val="en-US" w:eastAsia="zh-CN"/>
        </w:rPr>
        <w:t>6</w:t>
      </w:r>
      <w:r>
        <w:rPr>
          <w:rFonts w:eastAsia="仿宋_GB2312" w:cs="Times New Roman"/>
          <w:color w:val="000000"/>
          <w:sz w:val="32"/>
          <w:szCs w:val="32"/>
        </w:rPr>
        <w:t>台35蒸吨/小时燃煤锅炉，确需保留的燃煤锅炉，要逐一建立清单台账。</w:t>
      </w:r>
      <w:r>
        <w:rPr>
          <w:rFonts w:eastAsia="楷体_GB2312" w:cs="Times New Roman"/>
          <w:color w:val="000000"/>
          <w:sz w:val="32"/>
          <w:szCs w:val="32"/>
        </w:rPr>
        <w:t>（市生态环境局牵头）</w:t>
      </w:r>
      <w:r>
        <w:rPr>
          <w:rFonts w:eastAsia="仿宋_GB2312" w:cs="Times New Roman"/>
          <w:sz w:val="32"/>
          <w:szCs w:val="24"/>
        </w:rPr>
        <w:t>实施煤电机组整合提升工程，原则上不再新</w:t>
      </w:r>
      <w:r>
        <w:rPr>
          <w:rFonts w:hint="eastAsia" w:eastAsia="仿宋_GB2312" w:cs="Times New Roman"/>
          <w:sz w:val="32"/>
          <w:szCs w:val="24"/>
        </w:rPr>
        <w:t>增</w:t>
      </w:r>
      <w:r>
        <w:rPr>
          <w:rFonts w:eastAsia="仿宋_GB2312" w:cs="Times New Roman"/>
          <w:sz w:val="32"/>
          <w:szCs w:val="24"/>
        </w:rPr>
        <w:t>燃煤锅炉、燃煤机组。禁止新建</w:t>
      </w:r>
      <w:r>
        <w:rPr>
          <w:rFonts w:eastAsia="TimesNewRomanPSMT" w:cs="Times New Roman"/>
          <w:sz w:val="32"/>
          <w:szCs w:val="24"/>
        </w:rPr>
        <w:t>35</w:t>
      </w:r>
      <w:r>
        <w:rPr>
          <w:rFonts w:eastAsia="仿宋_GB2312" w:cs="Times New Roman"/>
          <w:sz w:val="32"/>
          <w:szCs w:val="24"/>
        </w:rPr>
        <w:t>蒸吨</w:t>
      </w:r>
      <w:r>
        <w:rPr>
          <w:rFonts w:eastAsia="TimesNewRomanPSMT" w:cs="Times New Roman"/>
          <w:sz w:val="32"/>
          <w:szCs w:val="24"/>
        </w:rPr>
        <w:t>/</w:t>
      </w:r>
      <w:r>
        <w:rPr>
          <w:rFonts w:eastAsia="仿宋_GB2312" w:cs="Times New Roman"/>
          <w:sz w:val="32"/>
          <w:szCs w:val="24"/>
        </w:rPr>
        <w:t>小时及以下燃煤锅炉，对新建</w:t>
      </w:r>
      <w:r>
        <w:rPr>
          <w:rFonts w:eastAsia="TimesNewRomanPSMT" w:cs="Times New Roman"/>
          <w:sz w:val="32"/>
          <w:szCs w:val="24"/>
        </w:rPr>
        <w:t>35</w:t>
      </w:r>
      <w:r>
        <w:rPr>
          <w:rFonts w:eastAsia="仿宋_GB2312" w:cs="Times New Roman"/>
          <w:sz w:val="32"/>
          <w:szCs w:val="24"/>
        </w:rPr>
        <w:t>蒸吨</w:t>
      </w:r>
      <w:r>
        <w:rPr>
          <w:rFonts w:eastAsia="TimesNewRomanPSMT" w:cs="Times New Roman"/>
          <w:sz w:val="32"/>
          <w:szCs w:val="24"/>
        </w:rPr>
        <w:t>/</w:t>
      </w:r>
      <w:r>
        <w:rPr>
          <w:rFonts w:eastAsia="仿宋_GB2312" w:cs="Times New Roman"/>
          <w:sz w:val="32"/>
          <w:szCs w:val="24"/>
        </w:rPr>
        <w:t>小时以上的燃煤锅炉严格执行煤炭减量替代办法。</w:t>
      </w:r>
      <w:r>
        <w:rPr>
          <w:rFonts w:eastAsia="楷体_GB2312" w:cs="Times New Roman"/>
          <w:color w:val="000000"/>
          <w:sz w:val="32"/>
          <w:szCs w:val="32"/>
        </w:rPr>
        <w:t>（市发展改革委</w:t>
      </w:r>
      <w:r>
        <w:rPr>
          <w:rFonts w:hint="eastAsia" w:eastAsia="楷体_GB2312" w:cs="Times New Roman"/>
          <w:color w:val="000000"/>
          <w:sz w:val="32"/>
          <w:szCs w:val="32"/>
          <w:lang w:eastAsia="zh-CN"/>
        </w:rPr>
        <w:t>、</w:t>
      </w:r>
      <w:r>
        <w:rPr>
          <w:rFonts w:hint="eastAsia" w:eastAsia="楷体_GB2312" w:cs="Times New Roman"/>
          <w:color w:val="000000"/>
          <w:sz w:val="32"/>
          <w:szCs w:val="32"/>
          <w:lang w:val="en-US" w:eastAsia="zh-CN"/>
        </w:rPr>
        <w:t>市生态环境局</w:t>
      </w:r>
      <w:r>
        <w:rPr>
          <w:rFonts w:eastAsia="楷体_GB2312" w:cs="Times New Roman"/>
          <w:color w:val="000000"/>
          <w:sz w:val="32"/>
          <w:szCs w:val="32"/>
        </w:rPr>
        <w:t>牵头）</w:t>
      </w:r>
    </w:p>
    <w:p>
      <w:pPr>
        <w:adjustRightInd w:val="0"/>
        <w:snapToGrid w:val="0"/>
        <w:spacing w:line="560" w:lineRule="exact"/>
        <w:ind w:firstLine="642" w:firstLineChars="200"/>
        <w:rPr>
          <w:rFonts w:eastAsia="仿宋_GB2312" w:cs="Times New Roman"/>
          <w:color w:val="000000"/>
          <w:sz w:val="32"/>
          <w:szCs w:val="32"/>
        </w:rPr>
      </w:pPr>
      <w:r>
        <w:rPr>
          <w:rFonts w:eastAsia="仿宋_GB2312" w:cs="Times New Roman"/>
          <w:b/>
          <w:bCs/>
          <w:color w:val="000000"/>
          <w:sz w:val="32"/>
          <w:szCs w:val="32"/>
        </w:rPr>
        <w:t>5.加大电力行业调整。</w:t>
      </w:r>
      <w:r>
        <w:rPr>
          <w:rFonts w:eastAsia="仿宋_GB2312" w:cs="Times New Roman"/>
          <w:color w:val="000000"/>
          <w:sz w:val="32"/>
          <w:szCs w:val="32"/>
        </w:rPr>
        <w:t>2021年12月底前，关停淘汰燃煤机组5台，合计9.2万千瓦。</w:t>
      </w:r>
      <w:r>
        <w:rPr>
          <w:rFonts w:eastAsia="TimesNewRomanPSMT" w:cs="Times New Roman"/>
          <w:sz w:val="32"/>
          <w:szCs w:val="24"/>
        </w:rPr>
        <w:t>30</w:t>
      </w:r>
      <w:r>
        <w:rPr>
          <w:rFonts w:eastAsia="仿宋_GB2312" w:cs="Times New Roman"/>
          <w:sz w:val="32"/>
          <w:szCs w:val="24"/>
        </w:rPr>
        <w:t>万千瓦及以上热电联产电厂</w:t>
      </w:r>
      <w:r>
        <w:rPr>
          <w:rFonts w:cs="Times New Roman"/>
          <w:sz w:val="32"/>
          <w:szCs w:val="24"/>
        </w:rPr>
        <w:t>30</w:t>
      </w:r>
      <w:r>
        <w:rPr>
          <w:rFonts w:eastAsia="仿宋_GB2312" w:cs="Times New Roman"/>
          <w:sz w:val="32"/>
          <w:szCs w:val="24"/>
        </w:rPr>
        <w:t>公里供热半径范围内的热电机组及配套的燃煤锅炉（除唯一不可替代）有步骤、分阶段关停整合。</w:t>
      </w:r>
      <w:r>
        <w:rPr>
          <w:rFonts w:eastAsia="仿宋_GB2312" w:cs="Times New Roman"/>
          <w:color w:val="000000"/>
          <w:sz w:val="32"/>
          <w:szCs w:val="32"/>
        </w:rPr>
        <w:t>提升电煤使用效率，2021年12月底现役煤电机组改造后平均供电煤耗低于304克/千瓦时。</w:t>
      </w:r>
      <w:r>
        <w:rPr>
          <w:rFonts w:eastAsia="楷体_GB2312" w:cs="Times New Roman"/>
          <w:color w:val="000000"/>
          <w:sz w:val="32"/>
          <w:szCs w:val="32"/>
        </w:rPr>
        <w:t>（市发展改革委牵头）</w:t>
      </w:r>
      <w:r>
        <w:rPr>
          <w:rFonts w:eastAsia="仿宋_GB2312" w:cs="Times New Roman"/>
          <w:color w:val="000000"/>
          <w:sz w:val="32"/>
          <w:szCs w:val="32"/>
        </w:rPr>
        <w:t>进一步提高新能源和可再生能源发电量，提升可再生能源电力消耗责任权重。</w:t>
      </w:r>
      <w:r>
        <w:rPr>
          <w:rFonts w:eastAsia="楷体_GB2312" w:cs="Times New Roman"/>
          <w:color w:val="000000"/>
          <w:sz w:val="32"/>
          <w:szCs w:val="32"/>
        </w:rPr>
        <w:t>（市发展改革委、国网淄博供电公司牵头）</w:t>
      </w:r>
    </w:p>
    <w:p>
      <w:pPr>
        <w:adjustRightInd w:val="0"/>
        <w:snapToGrid w:val="0"/>
        <w:spacing w:line="560" w:lineRule="exact"/>
        <w:ind w:firstLine="642" w:firstLineChars="200"/>
        <w:rPr>
          <w:rFonts w:eastAsia="楷体_GB2312" w:cs="Times New Roman"/>
          <w:color w:val="000000"/>
          <w:sz w:val="32"/>
          <w:szCs w:val="32"/>
          <w:highlight w:val="none"/>
        </w:rPr>
      </w:pPr>
      <w:r>
        <w:rPr>
          <w:rFonts w:eastAsia="仿宋_GB2312" w:cs="Times New Roman"/>
          <w:b/>
          <w:bCs/>
          <w:color w:val="000000"/>
          <w:sz w:val="32"/>
          <w:szCs w:val="32"/>
          <w:highlight w:val="none"/>
        </w:rPr>
        <w:t>6.继续推进清洁取暖与散煤治理。</w:t>
      </w:r>
      <w:r>
        <w:rPr>
          <w:rFonts w:eastAsia="仿宋_GB2312" w:cs="Times New Roman"/>
          <w:color w:val="000000"/>
          <w:sz w:val="32"/>
          <w:szCs w:val="32"/>
          <w:highlight w:val="none"/>
        </w:rPr>
        <w:t>对已完成清洁取暖改造的</w:t>
      </w:r>
      <w:r>
        <w:rPr>
          <w:rFonts w:hint="eastAsia" w:eastAsia="仿宋_GB2312" w:cs="Times New Roman"/>
          <w:color w:val="000000"/>
          <w:sz w:val="32"/>
          <w:szCs w:val="32"/>
          <w:highlight w:val="none"/>
          <w:lang w:val="en-US" w:eastAsia="zh-CN"/>
        </w:rPr>
        <w:t>要</w:t>
      </w:r>
      <w:r>
        <w:rPr>
          <w:rFonts w:hint="eastAsia" w:eastAsia="仿宋_GB2312" w:cs="Times New Roman"/>
          <w:color w:val="000000"/>
          <w:sz w:val="32"/>
          <w:szCs w:val="32"/>
          <w:highlight w:val="none"/>
        </w:rPr>
        <w:t>加强检查，</w:t>
      </w:r>
      <w:r>
        <w:rPr>
          <w:rFonts w:eastAsia="仿宋_GB2312" w:cs="Times New Roman"/>
          <w:color w:val="000000"/>
          <w:sz w:val="32"/>
          <w:szCs w:val="32"/>
          <w:highlight w:val="none"/>
        </w:rPr>
        <w:t>巩固2018—2020年清洁取暖体系建设成果</w:t>
      </w:r>
      <w:r>
        <w:rPr>
          <w:rFonts w:hint="eastAsia" w:eastAsia="仿宋_GB2312" w:cs="Times New Roman"/>
          <w:color w:val="000000"/>
          <w:sz w:val="32"/>
          <w:szCs w:val="32"/>
          <w:highlight w:val="none"/>
          <w:lang w:eastAsia="zh-CN"/>
        </w:rPr>
        <w:t>，</w:t>
      </w:r>
      <w:r>
        <w:rPr>
          <w:rFonts w:eastAsia="仿宋_GB2312" w:cs="Times New Roman"/>
          <w:color w:val="000000"/>
          <w:sz w:val="32"/>
          <w:szCs w:val="32"/>
          <w:highlight w:val="none"/>
        </w:rPr>
        <w:t>因地制宜推进清洁取暖工作</w:t>
      </w:r>
      <w:r>
        <w:rPr>
          <w:rFonts w:hint="eastAsia" w:eastAsia="仿宋_GB2312" w:cs="Times New Roman"/>
          <w:color w:val="000000"/>
          <w:sz w:val="32"/>
          <w:szCs w:val="32"/>
          <w:highlight w:val="none"/>
        </w:rPr>
        <w:t>，</w:t>
      </w:r>
      <w:r>
        <w:rPr>
          <w:rFonts w:eastAsia="仿宋_GB2312" w:cs="Times New Roman"/>
          <w:color w:val="000000"/>
          <w:sz w:val="32"/>
          <w:szCs w:val="32"/>
          <w:highlight w:val="none"/>
        </w:rPr>
        <w:t>2021年，农村地区完成清洁取暖改造</w:t>
      </w:r>
      <w:r>
        <w:rPr>
          <w:rFonts w:hint="eastAsia" w:eastAsia="仿宋_GB2312" w:cs="Times New Roman"/>
          <w:color w:val="000000"/>
          <w:sz w:val="32"/>
          <w:szCs w:val="32"/>
          <w:highlight w:val="none"/>
        </w:rPr>
        <w:t>15675</w:t>
      </w:r>
      <w:r>
        <w:rPr>
          <w:rFonts w:eastAsia="仿宋_GB2312" w:cs="Times New Roman"/>
          <w:color w:val="000000"/>
          <w:sz w:val="32"/>
          <w:szCs w:val="32"/>
          <w:highlight w:val="none"/>
        </w:rPr>
        <w:t>户。2021年新改造尚未得到采暖季运行检验的，不得强制要求拆除原有燃煤取暖设施。城市建成区（</w:t>
      </w:r>
      <w:r>
        <w:rPr>
          <w:rFonts w:hint="eastAsia" w:eastAsia="仿宋_GB2312" w:cs="Times New Roman"/>
          <w:color w:val="000000"/>
          <w:sz w:val="32"/>
          <w:szCs w:val="32"/>
          <w:highlight w:val="none"/>
          <w:lang w:val="en-US" w:eastAsia="zh-CN"/>
        </w:rPr>
        <w:t>包括</w:t>
      </w:r>
      <w:r>
        <w:rPr>
          <w:rFonts w:eastAsia="仿宋_GB2312" w:cs="Times New Roman"/>
          <w:color w:val="000000"/>
          <w:sz w:val="32"/>
          <w:szCs w:val="32"/>
          <w:highlight w:val="none"/>
        </w:rPr>
        <w:t>城中村、近郊村居）、重点区域</w:t>
      </w:r>
      <w:r>
        <w:rPr>
          <w:rFonts w:hint="eastAsia" w:eastAsia="仿宋_GB2312" w:cs="Times New Roman"/>
          <w:color w:val="000000"/>
          <w:sz w:val="32"/>
          <w:szCs w:val="32"/>
          <w:highlight w:val="none"/>
          <w:lang w:val="en-US" w:eastAsia="zh-CN"/>
        </w:rPr>
        <w:t>实施供暖设施改造</w:t>
      </w:r>
      <w:r>
        <w:rPr>
          <w:rFonts w:eastAsia="仿宋_GB2312" w:cs="Times New Roman"/>
          <w:color w:val="000000"/>
          <w:sz w:val="32"/>
          <w:szCs w:val="32"/>
          <w:highlight w:val="none"/>
        </w:rPr>
        <w:t>。</w:t>
      </w:r>
      <w:r>
        <w:rPr>
          <w:rFonts w:eastAsia="楷体_GB2312" w:cs="Times New Roman"/>
          <w:color w:val="000000"/>
          <w:sz w:val="32"/>
          <w:szCs w:val="32"/>
          <w:highlight w:val="none"/>
        </w:rPr>
        <w:t>（市住房城乡建设局牵头）</w:t>
      </w:r>
      <w:r>
        <w:rPr>
          <w:rFonts w:eastAsia="仿宋_GB2312" w:cs="Times New Roman"/>
          <w:color w:val="000000"/>
          <w:sz w:val="32"/>
          <w:szCs w:val="32"/>
          <w:highlight w:val="none"/>
        </w:rPr>
        <w:t>推进全市散煤治理，2021年推广清洁煤炭5万吨。</w:t>
      </w:r>
      <w:r>
        <w:rPr>
          <w:rFonts w:eastAsia="楷体_GB2312" w:cs="Times New Roman"/>
          <w:color w:val="000000"/>
          <w:sz w:val="32"/>
          <w:szCs w:val="32"/>
          <w:highlight w:val="none"/>
        </w:rPr>
        <w:t>（市发展改革委牵头）</w:t>
      </w:r>
      <w:r>
        <w:rPr>
          <w:rFonts w:eastAsia="仿宋_GB2312" w:cs="Times New Roman"/>
          <w:color w:val="000000"/>
          <w:sz w:val="32"/>
          <w:szCs w:val="32"/>
          <w:highlight w:val="none"/>
        </w:rPr>
        <w:t>全面排查梳理散煤治理改造确村确户情况，对未完成散煤治理的要建立清单（具体落实到县、乡、村及户）。</w:t>
      </w:r>
      <w:r>
        <w:rPr>
          <w:rFonts w:eastAsia="楷体_GB2312" w:cs="Times New Roman"/>
          <w:color w:val="000000"/>
          <w:sz w:val="32"/>
          <w:szCs w:val="32"/>
          <w:highlight w:val="none"/>
        </w:rPr>
        <w:t>（市发展改革委、市住房城乡建设局牵头）</w:t>
      </w:r>
      <w:r>
        <w:rPr>
          <w:rFonts w:eastAsia="仿宋_GB2312" w:cs="Times New Roman"/>
          <w:color w:val="000000"/>
          <w:sz w:val="32"/>
          <w:szCs w:val="32"/>
          <w:highlight w:val="none"/>
        </w:rPr>
        <w:t>进一步完善修订高污染燃料禁燃区范围。</w:t>
      </w:r>
      <w:r>
        <w:rPr>
          <w:rFonts w:eastAsia="楷体_GB2312" w:cs="Times New Roman"/>
          <w:color w:val="000000"/>
          <w:sz w:val="32"/>
          <w:szCs w:val="32"/>
          <w:highlight w:val="none"/>
        </w:rPr>
        <w:t>（市生态环境局牵头）</w:t>
      </w:r>
      <w:r>
        <w:rPr>
          <w:rFonts w:eastAsia="仿宋_GB2312" w:cs="Times New Roman"/>
          <w:color w:val="000000"/>
          <w:sz w:val="32"/>
          <w:szCs w:val="32"/>
          <w:highlight w:val="none"/>
        </w:rPr>
        <w:t>加强种植业、养殖业、农副产品加工业等农业散煤清洁能源替代工作。</w:t>
      </w:r>
      <w:r>
        <w:rPr>
          <w:rFonts w:eastAsia="楷体_GB2312" w:cs="Times New Roman"/>
          <w:color w:val="000000"/>
          <w:sz w:val="32"/>
          <w:szCs w:val="32"/>
          <w:highlight w:val="none"/>
        </w:rPr>
        <w:t>（市农业农村局牵头）</w:t>
      </w:r>
    </w:p>
    <w:p>
      <w:pPr>
        <w:widowControl/>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7.大力推进工业窑炉清洁能源替代。</w:t>
      </w:r>
      <w:r>
        <w:rPr>
          <w:rFonts w:eastAsia="仿宋_GB2312" w:cs="Times New Roman"/>
          <w:color w:val="000000"/>
          <w:sz w:val="32"/>
          <w:szCs w:val="32"/>
        </w:rPr>
        <w:t>推广电能、天然气等清洁能源，2021年12月底前，完成山东黑山玻璃集团有限公司、山东福隆玻璃科技有限公司和山东宏达玻璃制品有限公司</w:t>
      </w:r>
      <w:r>
        <w:rPr>
          <w:rFonts w:hint="eastAsia" w:eastAsia="仿宋_GB2312" w:cs="Times New Roman"/>
          <w:color w:val="000000"/>
          <w:sz w:val="32"/>
          <w:szCs w:val="32"/>
          <w:lang w:val="en-US" w:eastAsia="zh-CN"/>
        </w:rPr>
        <w:t>共</w:t>
      </w:r>
      <w:r>
        <w:rPr>
          <w:rFonts w:eastAsia="仿宋_GB2312" w:cs="Times New Roman"/>
          <w:color w:val="000000"/>
          <w:sz w:val="32"/>
          <w:szCs w:val="32"/>
        </w:rPr>
        <w:t>3台炉窑气代煤、淄博汇晶玻璃制品有限公司1</w:t>
      </w:r>
      <w:r>
        <w:rPr>
          <w:rFonts w:hint="eastAsia" w:eastAsia="仿宋_GB2312" w:cs="Times New Roman"/>
          <w:color w:val="000000"/>
          <w:sz w:val="32"/>
          <w:szCs w:val="32"/>
          <w:lang w:val="en-US" w:eastAsia="zh-CN"/>
        </w:rPr>
        <w:t>台</w:t>
      </w:r>
      <w:r>
        <w:rPr>
          <w:rFonts w:eastAsia="仿宋_GB2312" w:cs="Times New Roman"/>
          <w:color w:val="000000"/>
          <w:sz w:val="32"/>
          <w:szCs w:val="32"/>
        </w:rPr>
        <w:t>炉窑电代煤</w:t>
      </w:r>
      <w:r>
        <w:rPr>
          <w:rFonts w:hint="eastAsia" w:eastAsia="仿宋_GB2312" w:cs="Times New Roman"/>
          <w:color w:val="000000"/>
          <w:sz w:val="32"/>
          <w:szCs w:val="32"/>
        </w:rPr>
        <w:t>改造</w:t>
      </w:r>
      <w:r>
        <w:rPr>
          <w:rFonts w:eastAsia="仿宋_GB2312" w:cs="Times New Roman"/>
          <w:color w:val="000000"/>
          <w:sz w:val="32"/>
          <w:szCs w:val="32"/>
        </w:rPr>
        <w:t>。</w:t>
      </w:r>
      <w:r>
        <w:rPr>
          <w:rFonts w:eastAsia="楷体_GB2312" w:cs="Times New Roman"/>
          <w:color w:val="000000"/>
          <w:sz w:val="32"/>
          <w:szCs w:val="32"/>
        </w:rPr>
        <w:t>（市生态环境局牵头）</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（三）强化工业深度治理</w:t>
      </w:r>
    </w:p>
    <w:p>
      <w:pPr>
        <w:adjustRightInd w:val="0"/>
        <w:snapToGrid w:val="0"/>
        <w:spacing w:line="560" w:lineRule="exact"/>
        <w:ind w:firstLine="642" w:firstLineChars="200"/>
        <w:rPr>
          <w:rFonts w:eastAsia="仿宋_GB2312" w:cs="Times New Roman"/>
          <w:color w:val="000000"/>
          <w:sz w:val="32"/>
          <w:szCs w:val="32"/>
        </w:rPr>
      </w:pPr>
      <w:r>
        <w:rPr>
          <w:rFonts w:eastAsia="仿宋_GB2312" w:cs="Times New Roman"/>
          <w:b/>
          <w:bCs/>
          <w:sz w:val="32"/>
          <w:szCs w:val="32"/>
        </w:rPr>
        <w:t>8.持续推进</w:t>
      </w:r>
      <w:r>
        <w:rPr>
          <w:rFonts w:eastAsia="仿宋_GB2312" w:cs="Times New Roman"/>
          <w:b/>
          <w:bCs/>
          <w:color w:val="000000"/>
          <w:sz w:val="32"/>
          <w:szCs w:val="32"/>
        </w:rPr>
        <w:t>产业集群整治。</w:t>
      </w:r>
      <w:r>
        <w:rPr>
          <w:rFonts w:eastAsia="仿宋_GB2312" w:cs="Times New Roman"/>
          <w:color w:val="000000"/>
          <w:sz w:val="32"/>
          <w:szCs w:val="32"/>
        </w:rPr>
        <w:t>加大特色产业集群监督检查和问题整改力度，全面完成特色产业集群整治。2021年12月底前，组织开展</w:t>
      </w:r>
      <w:r>
        <w:rPr>
          <w:rFonts w:hint="eastAsia" w:eastAsia="仿宋_GB2312" w:cs="Times New Roman"/>
          <w:color w:val="000000"/>
          <w:sz w:val="32"/>
          <w:szCs w:val="32"/>
        </w:rPr>
        <w:t>“</w:t>
      </w:r>
      <w:r>
        <w:rPr>
          <w:rFonts w:eastAsia="仿宋_GB2312" w:cs="Times New Roman"/>
          <w:color w:val="000000"/>
          <w:sz w:val="32"/>
          <w:szCs w:val="32"/>
        </w:rPr>
        <w:t>回头看</w:t>
      </w:r>
      <w:r>
        <w:rPr>
          <w:rFonts w:hint="eastAsia" w:eastAsia="仿宋_GB2312" w:cs="Times New Roman"/>
          <w:color w:val="000000"/>
          <w:sz w:val="32"/>
          <w:szCs w:val="32"/>
        </w:rPr>
        <w:t>”</w:t>
      </w:r>
      <w:r>
        <w:rPr>
          <w:rFonts w:eastAsia="仿宋_GB2312" w:cs="Times New Roman"/>
          <w:color w:val="000000"/>
          <w:sz w:val="32"/>
          <w:szCs w:val="32"/>
        </w:rPr>
        <w:t>，建立动态管理和长效管控机制，确保特色产业集群整治实效。（</w:t>
      </w:r>
      <w:r>
        <w:rPr>
          <w:rFonts w:eastAsia="楷体_GB2312" w:cs="Times New Roman"/>
          <w:color w:val="000000"/>
          <w:sz w:val="32"/>
          <w:szCs w:val="32"/>
        </w:rPr>
        <w:t>市工业和信息化局、市生态环境局牵头</w:t>
      </w:r>
      <w:r>
        <w:rPr>
          <w:rFonts w:eastAsia="仿宋_GB2312" w:cs="Times New Roman"/>
          <w:color w:val="000000"/>
          <w:sz w:val="32"/>
          <w:szCs w:val="32"/>
        </w:rPr>
        <w:t>）</w:t>
      </w:r>
    </w:p>
    <w:p>
      <w:pPr>
        <w:widowControl/>
        <w:adjustRightInd w:val="0"/>
        <w:snapToGrid w:val="0"/>
        <w:spacing w:line="560" w:lineRule="exact"/>
        <w:ind w:firstLine="642" w:firstLineChars="200"/>
        <w:rPr>
          <w:rFonts w:eastAsia="楷体_GB2312" w:cs="Times New Roman"/>
          <w:sz w:val="32"/>
          <w:szCs w:val="32"/>
        </w:rPr>
      </w:pPr>
      <w:r>
        <w:rPr>
          <w:rFonts w:eastAsia="仿宋_GB2312" w:cs="Times New Roman"/>
          <w:b/>
          <w:bCs/>
          <w:sz w:val="32"/>
          <w:szCs w:val="32"/>
        </w:rPr>
        <w:t>9.持续推进重点行业超低排放改造。</w:t>
      </w:r>
      <w:r>
        <w:rPr>
          <w:rFonts w:eastAsia="仿宋_GB2312" w:cs="Times New Roman"/>
          <w:sz w:val="32"/>
          <w:szCs w:val="32"/>
        </w:rPr>
        <w:t>大力推进水泥行业超低排放改造，2022年3月底前，完成山东东华水泥有限公司1条水泥生产线超低排放改造；力争2022年5月底前，完成山东山铝环境新材料有限公司2号窑节能减排改造项目</w:t>
      </w:r>
      <w:r>
        <w:rPr>
          <w:rFonts w:hint="eastAsia" w:eastAsia="仿宋_GB2312" w:cs="Times New Roman"/>
          <w:sz w:val="32"/>
          <w:szCs w:val="32"/>
        </w:rPr>
        <w:t>。对已实施超低排放改造的煤电、钢铁企业加强日常监管，确保污染物稳定达标排放。</w:t>
      </w:r>
      <w:r>
        <w:rPr>
          <w:rFonts w:eastAsia="楷体_GB2312" w:cs="Times New Roman"/>
          <w:sz w:val="32"/>
          <w:szCs w:val="32"/>
        </w:rPr>
        <w:t>（市生态环境局牵头）</w:t>
      </w:r>
    </w:p>
    <w:p>
      <w:pPr>
        <w:adjustRightInd w:val="0"/>
        <w:snapToGrid w:val="0"/>
        <w:spacing w:line="560" w:lineRule="exact"/>
        <w:ind w:firstLine="642" w:firstLineChars="200"/>
        <w:rPr>
          <w:rFonts w:eastAsia="楷体_GB2312" w:cs="Times New Roman"/>
          <w:sz w:val="32"/>
          <w:szCs w:val="32"/>
        </w:rPr>
      </w:pPr>
      <w:r>
        <w:rPr>
          <w:rFonts w:eastAsia="仿宋_GB2312" w:cs="Times New Roman"/>
          <w:b/>
          <w:bCs/>
          <w:sz w:val="32"/>
          <w:szCs w:val="32"/>
        </w:rPr>
        <w:t>10.实施锅炉和工业炉窑深度治理。</w:t>
      </w:r>
      <w:r>
        <w:rPr>
          <w:rFonts w:eastAsia="仿宋_GB2312" w:cs="Times New Roman"/>
          <w:sz w:val="32"/>
          <w:szCs w:val="32"/>
        </w:rPr>
        <w:t>以采用低效治理设施的燃煤锅炉、生物质锅炉、煤气锅炉和工业炉窑为重点，开展工业锅炉、炉窑大气污染治理情况排查抽测，对不能稳定达标排放的督促整改。</w:t>
      </w:r>
      <w:r>
        <w:rPr>
          <w:rFonts w:hint="eastAsia" w:eastAsia="仿宋_GB2312" w:cs="Times New Roman"/>
          <w:sz w:val="32"/>
          <w:szCs w:val="32"/>
        </w:rPr>
        <w:t>对燃气锅炉低氮燃烧改造效果进行评估、提升，确保实现全覆盖。</w:t>
      </w:r>
      <w:r>
        <w:rPr>
          <w:rFonts w:eastAsia="仿宋_GB2312" w:cs="Times New Roman"/>
          <w:color w:val="000000"/>
          <w:sz w:val="32"/>
          <w:szCs w:val="32"/>
        </w:rPr>
        <w:t>实施治污设施提效升级，采取脱硫除尘一体化、脱硫脱硝一体化等低效治理工艺的应进行升级治理，确保稳定达标排放。采用氧化镁、氨法、单碱法、双碱法等脱硫工艺的，在秋冬季前要完成一次检修，防止</w:t>
      </w:r>
      <w:r>
        <w:rPr>
          <w:rFonts w:eastAsia="仿宋_GB2312" w:cs="Times New Roman"/>
          <w:sz w:val="32"/>
          <w:szCs w:val="32"/>
        </w:rPr>
        <w:t>脱硫系统堵塞，确保脱硫设施稳定运行。采用SCR脱硝工艺的，秋冬季前要对催化剂使用状况开展检查，确保脱硝系统良好稳定运行。</w:t>
      </w:r>
      <w:r>
        <w:rPr>
          <w:rFonts w:eastAsia="楷体_GB2312" w:cs="Times New Roman"/>
          <w:sz w:val="32"/>
          <w:szCs w:val="32"/>
        </w:rPr>
        <w:t>（市生态环境局牵头）</w:t>
      </w:r>
    </w:p>
    <w:p>
      <w:pPr>
        <w:adjustRightInd w:val="0"/>
        <w:snapToGrid w:val="0"/>
        <w:spacing w:line="560" w:lineRule="exact"/>
        <w:ind w:firstLine="640" w:firstLineChars="200"/>
        <w:rPr>
          <w:rFonts w:eastAsia="楷体_GB2312" w:cs="Times New Roman"/>
          <w:sz w:val="32"/>
          <w:szCs w:val="32"/>
        </w:rPr>
      </w:pPr>
      <w:r>
        <w:rPr>
          <w:rFonts w:eastAsia="仿宋_GB2312" w:cs="Times New Roman"/>
          <w:sz w:val="32"/>
          <w:szCs w:val="32"/>
        </w:rPr>
        <w:t>加快实施煤改电、煤改气工程，取缔燃煤热风炉，以煤炭为燃料的加热炉、热处理炉、干燥炉等改用工业余热或电能</w:t>
      </w:r>
      <w:r>
        <w:rPr>
          <w:rFonts w:eastAsia="仿宋_GB2312" w:cs="Times New Roman"/>
          <w:sz w:val="32"/>
          <w:szCs w:val="24"/>
        </w:rPr>
        <w:t>。</w:t>
      </w:r>
      <w:r>
        <w:rPr>
          <w:rFonts w:eastAsia="仿宋_GB2312" w:cs="Times New Roman"/>
          <w:sz w:val="32"/>
          <w:szCs w:val="32"/>
        </w:rPr>
        <w:t>推广高效废气处理工艺，</w:t>
      </w:r>
      <w:r>
        <w:rPr>
          <w:rFonts w:eastAsia="仿宋_GB2312" w:cs="Times New Roman"/>
          <w:color w:val="000000"/>
          <w:sz w:val="32"/>
          <w:szCs w:val="32"/>
        </w:rPr>
        <w:t>鼓励水泥企业使用SCR脱硝，全面提升脱硝治理水平，进一步控制氨逃逸；</w:t>
      </w:r>
      <w:r>
        <w:rPr>
          <w:rFonts w:eastAsia="仿宋_GB2312" w:cs="Times New Roman"/>
          <w:sz w:val="32"/>
          <w:szCs w:val="32"/>
        </w:rPr>
        <w:t>鼓励建筑陶瓷使用SCR脱硝工艺代替SNCR脱硝工艺。2022年3月底前，</w:t>
      </w:r>
      <w:r>
        <w:rPr>
          <w:rFonts w:hint="eastAsia" w:eastAsia="仿宋_GB2312" w:cs="Times New Roman"/>
          <w:sz w:val="32"/>
          <w:szCs w:val="32"/>
          <w:lang w:val="en-US" w:eastAsia="zh-CN"/>
        </w:rPr>
        <w:t>完成</w:t>
      </w:r>
      <w:r>
        <w:rPr>
          <w:rFonts w:eastAsia="仿宋_GB2312" w:cs="Times New Roman"/>
          <w:sz w:val="32"/>
          <w:szCs w:val="32"/>
        </w:rPr>
        <w:t>15家建陶企业氮氧化物稳定控制在60毫克/立方米以下；完成</w:t>
      </w:r>
      <w:r>
        <w:rPr>
          <w:rFonts w:eastAsia="仿宋_GB2312" w:cs="Times New Roman"/>
          <w:color w:val="000000"/>
          <w:sz w:val="32"/>
          <w:szCs w:val="32"/>
        </w:rPr>
        <w:t>耐火</w:t>
      </w:r>
      <w:r>
        <w:rPr>
          <w:rFonts w:hint="eastAsia" w:eastAsia="仿宋_GB2312" w:cs="Times New Roman"/>
          <w:color w:val="000000"/>
          <w:sz w:val="32"/>
          <w:szCs w:val="32"/>
          <w:lang w:val="en-US" w:eastAsia="zh-CN"/>
        </w:rPr>
        <w:t>材料行业</w:t>
      </w:r>
      <w:r>
        <w:rPr>
          <w:rFonts w:eastAsia="仿宋_GB2312" w:cs="Times New Roman"/>
          <w:color w:val="000000"/>
          <w:sz w:val="32"/>
          <w:szCs w:val="32"/>
        </w:rPr>
        <w:t>山东嘉腾实业有限公司3万吨产能脱硫脱硝除尘改造</w:t>
      </w:r>
      <w:r>
        <w:rPr>
          <w:rFonts w:hint="eastAsia" w:eastAsia="仿宋_GB2312" w:cs="Times New Roman"/>
          <w:color w:val="000000"/>
          <w:sz w:val="32"/>
          <w:szCs w:val="32"/>
          <w:lang w:val="en-US" w:eastAsia="zh-CN"/>
        </w:rPr>
        <w:t>工程</w:t>
      </w:r>
      <w:r>
        <w:rPr>
          <w:rFonts w:eastAsia="仿宋_GB2312" w:cs="Times New Roman"/>
          <w:color w:val="000000"/>
          <w:sz w:val="32"/>
          <w:szCs w:val="32"/>
        </w:rPr>
        <w:t>；完成陶瓷行业中材江西电瓷电器有限公司山东分公司0.9万吨产能脱硝改造</w:t>
      </w:r>
      <w:r>
        <w:rPr>
          <w:rFonts w:hint="eastAsia" w:eastAsia="仿宋_GB2312" w:cs="Times New Roman"/>
          <w:color w:val="000000"/>
          <w:sz w:val="32"/>
          <w:szCs w:val="32"/>
          <w:lang w:val="en-US" w:eastAsia="zh-CN"/>
        </w:rPr>
        <w:t>工程</w:t>
      </w:r>
      <w:r>
        <w:rPr>
          <w:rFonts w:eastAsia="仿宋_GB2312" w:cs="Times New Roman"/>
          <w:color w:val="000000"/>
          <w:sz w:val="32"/>
          <w:szCs w:val="32"/>
        </w:rPr>
        <w:t>。</w:t>
      </w:r>
      <w:r>
        <w:rPr>
          <w:rFonts w:eastAsia="楷体_GB2312" w:cs="Times New Roman"/>
          <w:sz w:val="32"/>
          <w:szCs w:val="32"/>
        </w:rPr>
        <w:t>（市生态环境局牵头）</w:t>
      </w:r>
    </w:p>
    <w:p>
      <w:pPr>
        <w:pStyle w:val="2"/>
        <w:spacing w:after="0" w:line="560" w:lineRule="exact"/>
        <w:ind w:firstLine="703" w:firstLineChars="219"/>
        <w:jc w:val="both"/>
        <w:rPr>
          <w:rFonts w:ascii="Times New Roman" w:hAnsi="Times New Roman" w:eastAsia="仿宋_GB2312" w:cs="Times New Roman"/>
          <w:kern w:val="2"/>
          <w:szCs w:val="24"/>
        </w:rPr>
      </w:pPr>
      <w:r>
        <w:rPr>
          <w:rFonts w:ascii="Times New Roman" w:hAnsi="Times New Roman" w:eastAsia="仿宋_GB2312" w:cs="Times New Roman"/>
          <w:b/>
          <w:bCs/>
          <w:color w:val="000000"/>
        </w:rPr>
        <w:t>11.强化工业企业无组织排放治理。</w:t>
      </w:r>
      <w:r>
        <w:rPr>
          <w:rFonts w:ascii="Times New Roman" w:hAnsi="Times New Roman" w:eastAsia="仿宋_GB2312" w:cs="Times New Roman"/>
          <w:kern w:val="2"/>
        </w:rPr>
        <w:t>以火电、平板玻璃、耐火材料等行业为重点，持续开展扬尘无组织排放深度治理工作，提升企业无组织管控水平。</w:t>
      </w:r>
      <w:r>
        <w:rPr>
          <w:rFonts w:ascii="Times New Roman" w:hAnsi="Times New Roman" w:eastAsia="仿宋_GB2312" w:cs="Times New Roman"/>
          <w:kern w:val="2"/>
          <w:szCs w:val="24"/>
        </w:rPr>
        <w:t>2021年12月底前，完成468家企业扬尘无组织排放治理。2022年3月底前，完成</w:t>
      </w:r>
      <w:r>
        <w:rPr>
          <w:rFonts w:hint="eastAsia" w:ascii="Times New Roman" w:hAnsi="Times New Roman" w:eastAsia="仿宋_GB2312" w:cs="Times New Roman"/>
          <w:kern w:val="2"/>
          <w:szCs w:val="24"/>
        </w:rPr>
        <w:t>华电淄博热电有限公司</w:t>
      </w:r>
      <w:r>
        <w:rPr>
          <w:rFonts w:ascii="Times New Roman" w:hAnsi="Times New Roman" w:eastAsia="仿宋_GB2312" w:cs="Times New Roman"/>
          <w:kern w:val="2"/>
          <w:szCs w:val="24"/>
        </w:rPr>
        <w:t>装卸环节扬尘无组织排放治理。</w:t>
      </w:r>
      <w:r>
        <w:rPr>
          <w:rFonts w:ascii="Times New Roman" w:hAnsi="Times New Roman" w:eastAsia="楷体_GB2312" w:cs="Times New Roman"/>
          <w:color w:val="000000"/>
        </w:rPr>
        <w:t>（市生态环境局牵头）</w:t>
      </w:r>
    </w:p>
    <w:p>
      <w:pPr>
        <w:pStyle w:val="2"/>
        <w:spacing w:after="0" w:line="560" w:lineRule="exact"/>
        <w:ind w:firstLine="703" w:firstLineChars="219"/>
        <w:jc w:val="both"/>
        <w:rPr>
          <w:rFonts w:ascii="Times New Roman" w:hAnsi="Times New Roman" w:eastAsia="仿宋_GB2312" w:cs="Times New Roman"/>
          <w:color w:val="000000"/>
        </w:rPr>
      </w:pPr>
      <w:r>
        <w:rPr>
          <w:rFonts w:ascii="Times New Roman" w:hAnsi="Times New Roman" w:eastAsia="仿宋_GB2312" w:cs="Times New Roman"/>
          <w:b/>
          <w:bCs/>
          <w:color w:val="000000"/>
        </w:rPr>
        <w:t>12.进一步推进重点行业企业用电监管。</w:t>
      </w:r>
      <w:r>
        <w:rPr>
          <w:rFonts w:ascii="Times New Roman" w:hAnsi="Times New Roman" w:eastAsia="仿宋_GB2312" w:cs="Times New Roman"/>
          <w:color w:val="000000"/>
        </w:rPr>
        <w:t>加大重点行业用电监管企业数据的统计分析，保证用电监控设施能够查询企业</w:t>
      </w:r>
      <w:r>
        <w:rPr>
          <w:rFonts w:hint="eastAsia" w:ascii="Times New Roman" w:hAnsi="Times New Roman" w:eastAsia="仿宋_GB2312" w:cs="Times New Roman"/>
          <w:color w:val="000000"/>
          <w:lang w:val="en-US" w:eastAsia="zh-CN"/>
        </w:rPr>
        <w:t>治污产污装置</w:t>
      </w:r>
      <w:r>
        <w:rPr>
          <w:rFonts w:ascii="Times New Roman" w:hAnsi="Times New Roman" w:eastAsia="仿宋_GB2312" w:cs="Times New Roman"/>
          <w:color w:val="000000"/>
        </w:rPr>
        <w:t>用电量，更好地掌握秋冬季重污染天气应急期间及其他专项行动中的企业生产情况和污染治理设施运行情况，督促企业用好治污设施，提高治污水平。</w:t>
      </w:r>
      <w:r>
        <w:rPr>
          <w:rFonts w:ascii="Times New Roman" w:hAnsi="Times New Roman" w:eastAsia="楷体_GB2312" w:cs="Times New Roman"/>
          <w:color w:val="000000"/>
        </w:rPr>
        <w:t>（市生态环境局牵头）</w:t>
      </w:r>
    </w:p>
    <w:p>
      <w:pPr>
        <w:adjustRightInd w:val="0"/>
        <w:snapToGrid w:val="0"/>
        <w:spacing w:line="560" w:lineRule="exact"/>
        <w:ind w:firstLine="642" w:firstLineChars="200"/>
        <w:rPr>
          <w:rFonts w:eastAsia="仿宋_GB2312" w:cs="Times New Roman"/>
          <w:sz w:val="32"/>
          <w:szCs w:val="32"/>
        </w:rPr>
      </w:pPr>
      <w:r>
        <w:rPr>
          <w:rFonts w:eastAsia="仿宋_GB2312" w:cs="Times New Roman"/>
          <w:b/>
          <w:bCs/>
          <w:sz w:val="32"/>
          <w:szCs w:val="32"/>
        </w:rPr>
        <w:t>13.提升氮氧化物治理设施自动化管控水平。</w:t>
      </w:r>
      <w:r>
        <w:rPr>
          <w:rFonts w:eastAsia="仿宋_GB2312" w:cs="Times New Roman"/>
          <w:sz w:val="32"/>
          <w:szCs w:val="32"/>
        </w:rPr>
        <w:t>引导推动耐材、玻璃、建陶、砖瓦、氧化铝等实施脱硝治理的炉窑企业，NOx治理设施控制要</w:t>
      </w:r>
      <w:r>
        <w:rPr>
          <w:rFonts w:hint="eastAsia" w:eastAsia="仿宋_GB2312" w:cs="Times New Roman"/>
          <w:sz w:val="32"/>
          <w:szCs w:val="32"/>
          <w:lang w:val="en-US" w:eastAsia="zh-CN"/>
        </w:rPr>
        <w:t>采用</w:t>
      </w:r>
      <w:r>
        <w:rPr>
          <w:rFonts w:eastAsia="仿宋_GB2312" w:cs="Times New Roman"/>
          <w:sz w:val="32"/>
          <w:szCs w:val="32"/>
        </w:rPr>
        <w:t>PLC/DCS等自动化控制系统，实现NOx稳定排放，同时减少氨逃逸。企业自动化控制系统具备历史数据存储、查询功能，同时做好数据记录的备份保存工作。</w:t>
      </w:r>
      <w:r>
        <w:rPr>
          <w:rFonts w:eastAsia="楷体_GB2312" w:cs="Times New Roman"/>
          <w:sz w:val="32"/>
          <w:szCs w:val="32"/>
        </w:rPr>
        <w:t>（市生态环境局牵头）</w:t>
      </w:r>
    </w:p>
    <w:p>
      <w:pPr>
        <w:adjustRightInd w:val="0"/>
        <w:snapToGrid w:val="0"/>
        <w:spacing w:line="560" w:lineRule="exact"/>
        <w:ind w:firstLine="642" w:firstLineChars="200"/>
        <w:rPr>
          <w:rFonts w:eastAsia="仿宋_GB2312" w:cs="Times New Roman"/>
          <w:color w:val="000000"/>
          <w:sz w:val="32"/>
          <w:szCs w:val="32"/>
        </w:rPr>
      </w:pPr>
      <w:r>
        <w:rPr>
          <w:rFonts w:eastAsia="仿宋_GB2312" w:cs="Times New Roman"/>
          <w:b/>
          <w:bCs/>
          <w:color w:val="000000"/>
          <w:sz w:val="32"/>
          <w:szCs w:val="32"/>
        </w:rPr>
        <w:t>14.严防</w:t>
      </w:r>
      <w:r>
        <w:rPr>
          <w:rFonts w:hint="eastAsia" w:eastAsia="仿宋_GB2312" w:cs="Times New Roman"/>
          <w:b/>
          <w:bCs/>
          <w:color w:val="000000"/>
          <w:sz w:val="32"/>
          <w:szCs w:val="32"/>
        </w:rPr>
        <w:t>“</w:t>
      </w:r>
      <w:r>
        <w:rPr>
          <w:rFonts w:eastAsia="仿宋_GB2312" w:cs="Times New Roman"/>
          <w:b/>
          <w:bCs/>
          <w:color w:val="000000"/>
          <w:sz w:val="32"/>
          <w:szCs w:val="32"/>
        </w:rPr>
        <w:t>散乱污</w:t>
      </w:r>
      <w:r>
        <w:rPr>
          <w:rFonts w:hint="eastAsia" w:eastAsia="仿宋_GB2312" w:cs="Times New Roman"/>
          <w:b/>
          <w:bCs/>
          <w:color w:val="000000"/>
          <w:sz w:val="32"/>
          <w:szCs w:val="32"/>
        </w:rPr>
        <w:t>”</w:t>
      </w:r>
      <w:r>
        <w:rPr>
          <w:rFonts w:eastAsia="仿宋_GB2312" w:cs="Times New Roman"/>
          <w:b/>
          <w:bCs/>
          <w:color w:val="000000"/>
          <w:sz w:val="32"/>
          <w:szCs w:val="32"/>
        </w:rPr>
        <w:t>企业反弹。</w:t>
      </w:r>
      <w:r>
        <w:rPr>
          <w:rFonts w:eastAsia="仿宋_GB2312" w:cs="Times New Roman"/>
          <w:color w:val="000000"/>
          <w:sz w:val="32"/>
          <w:szCs w:val="32"/>
        </w:rPr>
        <w:t>完善动态清零管理机制，定期开展排查整治工作。将完成整改的企业及时移出</w:t>
      </w:r>
      <w:r>
        <w:rPr>
          <w:rFonts w:hint="eastAsia" w:eastAsia="仿宋_GB2312" w:cs="Times New Roman"/>
          <w:color w:val="000000"/>
          <w:sz w:val="32"/>
          <w:szCs w:val="32"/>
        </w:rPr>
        <w:t>“</w:t>
      </w:r>
      <w:r>
        <w:rPr>
          <w:rFonts w:eastAsia="仿宋_GB2312" w:cs="Times New Roman"/>
          <w:color w:val="000000"/>
          <w:sz w:val="32"/>
          <w:szCs w:val="32"/>
        </w:rPr>
        <w:t>散乱污</w:t>
      </w:r>
      <w:r>
        <w:rPr>
          <w:rFonts w:hint="eastAsia" w:eastAsia="仿宋_GB2312" w:cs="Times New Roman"/>
          <w:color w:val="000000"/>
          <w:sz w:val="32"/>
          <w:szCs w:val="32"/>
        </w:rPr>
        <w:t>”</w:t>
      </w:r>
      <w:r>
        <w:rPr>
          <w:rFonts w:eastAsia="仿宋_GB2312" w:cs="Times New Roman"/>
          <w:color w:val="000000"/>
          <w:sz w:val="32"/>
          <w:szCs w:val="32"/>
        </w:rPr>
        <w:t>清单，对新发现的</w:t>
      </w:r>
      <w:r>
        <w:rPr>
          <w:rFonts w:hint="eastAsia" w:eastAsia="仿宋_GB2312" w:cs="Times New Roman"/>
          <w:color w:val="000000"/>
          <w:sz w:val="32"/>
          <w:szCs w:val="32"/>
        </w:rPr>
        <w:t>“</w:t>
      </w:r>
      <w:r>
        <w:rPr>
          <w:rFonts w:eastAsia="仿宋_GB2312" w:cs="Times New Roman"/>
          <w:color w:val="000000"/>
          <w:sz w:val="32"/>
          <w:szCs w:val="32"/>
        </w:rPr>
        <w:t>散乱污</w:t>
      </w:r>
      <w:r>
        <w:rPr>
          <w:rFonts w:hint="eastAsia" w:eastAsia="仿宋_GB2312" w:cs="Times New Roman"/>
          <w:color w:val="000000"/>
          <w:sz w:val="32"/>
          <w:szCs w:val="32"/>
        </w:rPr>
        <w:t>”</w:t>
      </w:r>
      <w:r>
        <w:rPr>
          <w:rFonts w:eastAsia="仿宋_GB2312" w:cs="Times New Roman"/>
          <w:color w:val="000000"/>
          <w:sz w:val="32"/>
          <w:szCs w:val="32"/>
        </w:rPr>
        <w:t>企业建档立册，纳入管理台账。进一步夯实网格化管理，落实区县、镇街属地管理责任，创新监管方式，建立举报奖励机制，发现一起、整治一起</w:t>
      </w:r>
      <w:r>
        <w:rPr>
          <w:rFonts w:hint="eastAsia" w:eastAsia="仿宋_GB2312" w:cs="Times New Roman"/>
          <w:color w:val="000000"/>
          <w:sz w:val="32"/>
          <w:szCs w:val="32"/>
          <w:lang w:eastAsia="zh-CN"/>
        </w:rPr>
        <w:t>，</w:t>
      </w:r>
      <w:r>
        <w:rPr>
          <w:rFonts w:eastAsia="仿宋_GB2312" w:cs="Times New Roman"/>
          <w:color w:val="000000"/>
          <w:sz w:val="32"/>
          <w:szCs w:val="32"/>
        </w:rPr>
        <w:t>坚决防止已关停取缔的</w:t>
      </w:r>
      <w:r>
        <w:rPr>
          <w:rFonts w:hint="eastAsia" w:eastAsia="仿宋_GB2312" w:cs="Times New Roman"/>
          <w:color w:val="000000"/>
          <w:sz w:val="32"/>
          <w:szCs w:val="32"/>
        </w:rPr>
        <w:t>“</w:t>
      </w:r>
      <w:r>
        <w:rPr>
          <w:rFonts w:eastAsia="仿宋_GB2312" w:cs="Times New Roman"/>
          <w:color w:val="000000"/>
          <w:sz w:val="32"/>
          <w:szCs w:val="32"/>
        </w:rPr>
        <w:t>散乱污</w:t>
      </w:r>
      <w:r>
        <w:rPr>
          <w:rFonts w:hint="eastAsia" w:eastAsia="仿宋_GB2312" w:cs="Times New Roman"/>
          <w:color w:val="000000"/>
          <w:sz w:val="32"/>
          <w:szCs w:val="32"/>
        </w:rPr>
        <w:t>”</w:t>
      </w:r>
      <w:r>
        <w:rPr>
          <w:rFonts w:eastAsia="仿宋_GB2312" w:cs="Times New Roman"/>
          <w:color w:val="000000"/>
          <w:sz w:val="32"/>
          <w:szCs w:val="32"/>
        </w:rPr>
        <w:t>企业死灰复燃、异地转移。（</w:t>
      </w:r>
      <w:r>
        <w:rPr>
          <w:rFonts w:eastAsia="楷体_GB2312" w:cs="Times New Roman"/>
          <w:color w:val="000000"/>
          <w:sz w:val="32"/>
          <w:szCs w:val="32"/>
        </w:rPr>
        <w:t>市生态环境局、市工业和信息化局牵头</w:t>
      </w:r>
      <w:r>
        <w:rPr>
          <w:rFonts w:eastAsia="仿宋_GB2312" w:cs="Times New Roman"/>
          <w:color w:val="000000"/>
          <w:sz w:val="32"/>
          <w:szCs w:val="32"/>
        </w:rPr>
        <w:t>）</w:t>
      </w:r>
    </w:p>
    <w:p>
      <w:pPr>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15.鼓励重点行业提升改造。</w:t>
      </w:r>
      <w:r>
        <w:rPr>
          <w:rFonts w:eastAsia="仿宋_GB2312" w:cs="Times New Roman"/>
          <w:color w:val="000000"/>
          <w:sz w:val="32"/>
          <w:szCs w:val="32"/>
        </w:rPr>
        <w:t>鼓励全市重点行业企业按照生态环境部《重污染天气重点行业应急减排措施制定技术指南（2021年修订版）》中A、B级和绩效引领企业相关指标，从燃料替代、无组织管控、排放限值、末端治理设施等方面进行提标</w:t>
      </w:r>
      <w:r>
        <w:rPr>
          <w:rFonts w:hint="eastAsia" w:eastAsia="仿宋_GB2312" w:cs="Times New Roman"/>
          <w:color w:val="000000"/>
          <w:sz w:val="32"/>
          <w:szCs w:val="32"/>
          <w:lang w:val="en-US" w:eastAsia="zh-CN"/>
        </w:rPr>
        <w:t>改造</w:t>
      </w:r>
      <w:r>
        <w:rPr>
          <w:rFonts w:eastAsia="仿宋_GB2312" w:cs="Times New Roman"/>
          <w:color w:val="000000"/>
          <w:sz w:val="32"/>
          <w:szCs w:val="32"/>
        </w:rPr>
        <w:t>。</w:t>
      </w:r>
      <w:r>
        <w:rPr>
          <w:rFonts w:eastAsia="楷体_GB2312" w:cs="Times New Roman"/>
          <w:color w:val="000000"/>
          <w:sz w:val="32"/>
          <w:szCs w:val="32"/>
        </w:rPr>
        <w:t>（市生态环境局牵头）</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（四）深化VOCs污染治理</w:t>
      </w:r>
    </w:p>
    <w:p>
      <w:pPr>
        <w:adjustRightInd w:val="0"/>
        <w:snapToGrid w:val="0"/>
        <w:spacing w:line="560" w:lineRule="exact"/>
        <w:ind w:firstLine="642" w:firstLineChars="200"/>
        <w:rPr>
          <w:rFonts w:eastAsia="仿宋_GB2312" w:cs="Times New Roman"/>
          <w:color w:val="0C0C0C"/>
          <w:sz w:val="32"/>
          <w:szCs w:val="32"/>
        </w:rPr>
      </w:pPr>
      <w:r>
        <w:rPr>
          <w:rFonts w:eastAsia="仿宋_GB2312" w:cs="Times New Roman"/>
          <w:b/>
          <w:bCs/>
          <w:color w:val="0C0C0C"/>
          <w:sz w:val="32"/>
          <w:szCs w:val="32"/>
        </w:rPr>
        <w:t>16.积极推进各级督查VOCs问题整改。</w:t>
      </w:r>
      <w:r>
        <w:rPr>
          <w:rFonts w:eastAsia="仿宋_GB2312" w:cs="Times New Roman"/>
          <w:color w:val="0C0C0C"/>
          <w:sz w:val="32"/>
          <w:szCs w:val="32"/>
        </w:rPr>
        <w:t>严格落实《关于加快解决当前挥发性有机物治理突出问题的通知》有关要求，高质量完成排查治理工作。</w:t>
      </w:r>
      <w:r>
        <w:rPr>
          <w:rFonts w:hint="eastAsia" w:eastAsia="仿宋_GB2312" w:cs="Times New Roman"/>
          <w:color w:val="0C0C0C"/>
          <w:sz w:val="32"/>
          <w:szCs w:val="32"/>
          <w:lang w:val="en-US" w:eastAsia="zh-CN"/>
        </w:rPr>
        <w:t>按照国家要求，</w:t>
      </w:r>
      <w:r>
        <w:rPr>
          <w:rFonts w:eastAsia="仿宋_GB2312" w:cs="Times New Roman"/>
          <w:color w:val="0C0C0C"/>
          <w:sz w:val="32"/>
          <w:szCs w:val="32"/>
        </w:rPr>
        <w:t>以石化、化工、工业涂装、包装印刷以及油品储运销为重点，结合全市特色产业，组织企业针对挥发性有机液体储罐、装卸、敞开液面、</w:t>
      </w:r>
      <w:r>
        <w:rPr>
          <w:rFonts w:hint="eastAsia" w:eastAsia="仿宋_GB2312" w:cs="Times New Roman"/>
          <w:color w:val="0C0C0C"/>
          <w:sz w:val="32"/>
          <w:szCs w:val="32"/>
          <w:lang w:val="en-US" w:eastAsia="zh-CN"/>
        </w:rPr>
        <w:t>LDAR</w:t>
      </w:r>
      <w:r>
        <w:rPr>
          <w:rFonts w:eastAsia="仿宋_GB2312" w:cs="Times New Roman"/>
          <w:color w:val="0C0C0C"/>
          <w:sz w:val="32"/>
          <w:szCs w:val="32"/>
        </w:rPr>
        <w:t>、废气收集、废气旁路、治理设施、加油站、非正常工况、产品VOCs含量等10个关键环节完成一轮排查工作。2021年12月底前，完成检查抽测以及各级监督检查评估发现问题的整改，建立整改台帐，做到有措施、有标准、有完成时间、有责任人；实行整改惩戒制度，不能按时完成整改的要限制生产、限期治理，拒不整改、问题反复的要</w:t>
      </w:r>
      <w:r>
        <w:rPr>
          <w:rFonts w:hint="eastAsia" w:eastAsia="仿宋_GB2312" w:cs="Times New Roman"/>
          <w:color w:val="0C0C0C"/>
          <w:sz w:val="32"/>
          <w:szCs w:val="32"/>
          <w:lang w:val="en-US" w:eastAsia="zh-CN"/>
        </w:rPr>
        <w:t>严格</w:t>
      </w:r>
      <w:r>
        <w:rPr>
          <w:rFonts w:eastAsia="仿宋_GB2312" w:cs="Times New Roman"/>
          <w:color w:val="0C0C0C"/>
          <w:sz w:val="32"/>
          <w:szCs w:val="32"/>
        </w:rPr>
        <w:t>处罚、公开曝光，倒逼企业落实主体责任，提高VOCs治理工作的针对性和有效性，做到</w:t>
      </w:r>
      <w:r>
        <w:rPr>
          <w:rFonts w:hint="eastAsia" w:eastAsia="仿宋_GB2312" w:cs="Times New Roman"/>
          <w:color w:val="0C0C0C"/>
          <w:sz w:val="32"/>
          <w:szCs w:val="32"/>
        </w:rPr>
        <w:t>“</w:t>
      </w:r>
      <w:r>
        <w:rPr>
          <w:rFonts w:eastAsia="仿宋_GB2312" w:cs="Times New Roman"/>
          <w:color w:val="0C0C0C"/>
          <w:sz w:val="32"/>
          <w:szCs w:val="32"/>
        </w:rPr>
        <w:t>夏病冬治</w:t>
      </w:r>
      <w:r>
        <w:rPr>
          <w:rFonts w:hint="eastAsia" w:eastAsia="仿宋_GB2312" w:cs="Times New Roman"/>
          <w:color w:val="0C0C0C"/>
          <w:sz w:val="32"/>
          <w:szCs w:val="32"/>
        </w:rPr>
        <w:t>”</w:t>
      </w:r>
      <w:r>
        <w:rPr>
          <w:rFonts w:eastAsia="仿宋_GB2312" w:cs="Times New Roman"/>
          <w:color w:val="0C0C0C"/>
          <w:sz w:val="32"/>
          <w:szCs w:val="32"/>
        </w:rPr>
        <w:t>。</w:t>
      </w:r>
      <w:r>
        <w:rPr>
          <w:rFonts w:eastAsia="楷体_GB2312" w:cs="Times New Roman"/>
          <w:color w:val="000000"/>
          <w:sz w:val="32"/>
          <w:szCs w:val="32"/>
        </w:rPr>
        <w:t>（市生态环境局牵头）</w:t>
      </w:r>
    </w:p>
    <w:p>
      <w:pPr>
        <w:adjustRightInd w:val="0"/>
        <w:snapToGrid w:val="0"/>
        <w:spacing w:line="560" w:lineRule="exact"/>
        <w:ind w:firstLine="642" w:firstLineChars="200"/>
        <w:rPr>
          <w:rFonts w:eastAsia="仿宋_GB2312" w:cs="Times New Roman"/>
          <w:color w:val="0C0C0C"/>
          <w:sz w:val="32"/>
          <w:szCs w:val="32"/>
        </w:rPr>
      </w:pPr>
      <w:r>
        <w:rPr>
          <w:rFonts w:eastAsia="仿宋_GB2312" w:cs="Times New Roman"/>
          <w:b/>
          <w:bCs/>
          <w:color w:val="0C0C0C"/>
          <w:sz w:val="32"/>
          <w:szCs w:val="32"/>
        </w:rPr>
        <w:t>17.积极推进低（无）挥发性原辅料替代。</w:t>
      </w:r>
      <w:r>
        <w:rPr>
          <w:rFonts w:eastAsia="仿宋_GB2312" w:cs="Times New Roman"/>
          <w:color w:val="0C0C0C"/>
          <w:sz w:val="32"/>
          <w:szCs w:val="32"/>
        </w:rPr>
        <w:t>积极推进VOCs工业涂装、包装印刷、汽车维修等行业VOCs原辅料源头替代。2021年12月底前，</w:t>
      </w:r>
      <w:r>
        <w:rPr>
          <w:rFonts w:eastAsia="仿宋_GB2312" w:cs="Times New Roman"/>
          <w:color w:val="0C0C0C"/>
          <w:kern w:val="2"/>
          <w:sz w:val="32"/>
          <w:szCs w:val="32"/>
        </w:rPr>
        <w:t>在实现全过程源头替代609家企业的基础上</w:t>
      </w:r>
      <w:r>
        <w:rPr>
          <w:rFonts w:hint="eastAsia" w:eastAsia="仿宋_GB2312" w:cs="Times New Roman"/>
          <w:color w:val="0C0C0C"/>
          <w:sz w:val="32"/>
          <w:szCs w:val="32"/>
          <w:lang w:val="en-US" w:eastAsia="zh-CN"/>
        </w:rPr>
        <w:t>，</w:t>
      </w:r>
      <w:r>
        <w:rPr>
          <w:rFonts w:eastAsia="仿宋_GB2312" w:cs="Times New Roman"/>
          <w:color w:val="0C0C0C"/>
          <w:sz w:val="32"/>
          <w:szCs w:val="32"/>
        </w:rPr>
        <w:t>新增15家工业涂装</w:t>
      </w:r>
      <w:r>
        <w:rPr>
          <w:rFonts w:hint="eastAsia" w:eastAsia="仿宋_GB2312" w:cs="Times New Roman"/>
          <w:color w:val="0C0C0C"/>
          <w:sz w:val="32"/>
          <w:szCs w:val="32"/>
        </w:rPr>
        <w:t>企业</w:t>
      </w:r>
      <w:r>
        <w:rPr>
          <w:rFonts w:eastAsia="仿宋_GB2312" w:cs="Times New Roman"/>
          <w:color w:val="0C0C0C"/>
          <w:sz w:val="32"/>
          <w:szCs w:val="32"/>
        </w:rPr>
        <w:t>、13家包装印刷企业完成源头替代。</w:t>
      </w:r>
      <w:r>
        <w:rPr>
          <w:rFonts w:eastAsia="楷体_GB2312" w:cs="Times New Roman"/>
          <w:color w:val="000000"/>
          <w:sz w:val="32"/>
          <w:szCs w:val="32"/>
        </w:rPr>
        <w:t>（市生态环境局牵头）</w:t>
      </w:r>
    </w:p>
    <w:p>
      <w:pPr>
        <w:adjustRightInd w:val="0"/>
        <w:snapToGrid w:val="0"/>
        <w:spacing w:line="560" w:lineRule="exact"/>
        <w:ind w:firstLine="642" w:firstLineChars="200"/>
        <w:rPr>
          <w:rFonts w:eastAsia="楷体_GB2312" w:cs="Times New Roman"/>
          <w:sz w:val="32"/>
          <w:szCs w:val="32"/>
        </w:rPr>
      </w:pPr>
      <w:r>
        <w:rPr>
          <w:rFonts w:eastAsia="仿宋_GB2312" w:cs="Times New Roman"/>
          <w:b/>
          <w:bCs/>
          <w:color w:val="0C0C0C"/>
          <w:sz w:val="32"/>
          <w:szCs w:val="32"/>
        </w:rPr>
        <w:t>18.抓好VOCs治理收集率和治理效率提升。</w:t>
      </w:r>
      <w:r>
        <w:rPr>
          <w:rFonts w:eastAsia="仿宋_GB2312" w:cs="Times New Roman"/>
          <w:color w:val="0C0C0C"/>
          <w:sz w:val="32"/>
          <w:szCs w:val="32"/>
        </w:rPr>
        <w:t>针对物料储存、装卸车、废水处理等重点环节，采用密闭吸收、负压吸收、集气罩吸收等措施，实现有效收集。2021年12月底前，完成123家企业建设或改造为适宜高效的治污设施；2022年3月底前，完成6家企业建设或改造为适宜高效的治污设施。2021年12月底前，150家企业通过采取设备与场所密闭、工艺改进、废气有效收集等措施完成VOCs无组织排放治理；2家企业敞开液面采用废气有效收集措施，完成VOCs无组织排放治理。2021年12月底前，完成198个储罐废气回收治理，6个罐车底部装载设施改造，6个底部装载自封式快速接头改造；2022年3月底前，新增完成13个储罐废气回收治理，1个罐车底部装载设施改造。2021年12月底前，完成82家企业LDAR工作开展情况的抽测和检查，组织184家企业开展LDAR自检。</w:t>
      </w:r>
      <w:r>
        <w:rPr>
          <w:rFonts w:eastAsia="楷体_GB2312" w:cs="Times New Roman"/>
          <w:sz w:val="32"/>
          <w:szCs w:val="32"/>
        </w:rPr>
        <w:t>（市生态环境局牵头）</w:t>
      </w:r>
    </w:p>
    <w:p>
      <w:pPr>
        <w:widowControl/>
        <w:adjustRightInd w:val="0"/>
        <w:snapToGrid w:val="0"/>
        <w:spacing w:line="560" w:lineRule="exact"/>
        <w:ind w:firstLine="642" w:firstLineChars="200"/>
        <w:rPr>
          <w:rFonts w:eastAsia="楷体_GB2312" w:cs="Times New Roman"/>
          <w:sz w:val="32"/>
          <w:szCs w:val="32"/>
        </w:rPr>
      </w:pPr>
      <w:r>
        <w:rPr>
          <w:rFonts w:eastAsia="仿宋_GB2312" w:cs="Times New Roman"/>
          <w:b/>
          <w:bCs/>
          <w:sz w:val="32"/>
        </w:rPr>
        <w:t>19.强化油品储运销监管和VOCs产品质量监督检查。</w:t>
      </w:r>
      <w:r>
        <w:rPr>
          <w:rFonts w:eastAsia="仿宋_GB2312" w:cs="Times New Roman"/>
          <w:sz w:val="32"/>
        </w:rPr>
        <w:t>持续打击和清理取缔黑加油站点、流动加油车。秋冬季期间，组织开展打击黑加油站点（车）专项行动，严厉查处成品油</w:t>
      </w:r>
      <w:r>
        <w:rPr>
          <w:rFonts w:hint="eastAsia" w:eastAsia="仿宋_GB2312" w:cs="Times New Roman"/>
          <w:sz w:val="32"/>
        </w:rPr>
        <w:t>“</w:t>
      </w:r>
      <w:r>
        <w:rPr>
          <w:rFonts w:eastAsia="仿宋_GB2312" w:cs="Times New Roman"/>
          <w:sz w:val="32"/>
        </w:rPr>
        <w:t>自流黑</w:t>
      </w:r>
      <w:r>
        <w:rPr>
          <w:rFonts w:hint="eastAsia" w:eastAsia="仿宋_GB2312" w:cs="Times New Roman"/>
          <w:sz w:val="32"/>
        </w:rPr>
        <w:t>”</w:t>
      </w:r>
      <w:r>
        <w:rPr>
          <w:rFonts w:eastAsia="仿宋_GB2312" w:cs="Times New Roman"/>
          <w:sz w:val="32"/>
        </w:rPr>
        <w:t>违法行为。</w:t>
      </w:r>
      <w:r>
        <w:rPr>
          <w:rFonts w:eastAsia="楷体_GB2312" w:cs="Times New Roman"/>
          <w:sz w:val="32"/>
          <w:szCs w:val="32"/>
        </w:rPr>
        <w:t>（</w:t>
      </w:r>
      <w:r>
        <w:rPr>
          <w:rFonts w:hint="eastAsia" w:eastAsia="楷体_GB2312" w:cs="Times New Roman"/>
          <w:sz w:val="32"/>
          <w:szCs w:val="32"/>
          <w:lang w:val="en-US" w:eastAsia="zh-CN"/>
        </w:rPr>
        <w:t>市成品油监管领导小组</w:t>
      </w:r>
      <w:r>
        <w:rPr>
          <w:rFonts w:eastAsia="楷体_GB2312" w:cs="Times New Roman"/>
          <w:sz w:val="32"/>
          <w:szCs w:val="32"/>
        </w:rPr>
        <w:t>牵头）</w:t>
      </w:r>
      <w:r>
        <w:rPr>
          <w:rFonts w:eastAsia="仿宋_GB2312" w:cs="Times New Roman"/>
          <w:sz w:val="32"/>
        </w:rPr>
        <w:t>2021年12月底前，对全市加油站（点）抽检车用汽柴油800个批次以上，对高速公路、国道、省道沿线加油站抽检尿素80个批次以上。加强国家和地方涂料、油墨、胶粘剂、清洗剂等产品VOCs含量限值标准执行情况的监督检查，12月底前，抽查生产销售企业涂料55批次、油墨5批次、胶粘剂10批次、清洗剂1批次。</w:t>
      </w:r>
      <w:r>
        <w:rPr>
          <w:rFonts w:eastAsia="楷体_GB2312" w:cs="Times New Roman"/>
          <w:sz w:val="32"/>
          <w:szCs w:val="32"/>
        </w:rPr>
        <w:t>（</w:t>
      </w:r>
      <w:r>
        <w:rPr>
          <w:rFonts w:hint="eastAsia" w:eastAsia="楷体_GB2312" w:cs="Times New Roman"/>
          <w:sz w:val="32"/>
          <w:szCs w:val="32"/>
          <w:lang w:eastAsia="zh-CN"/>
        </w:rPr>
        <w:t>市市场监管局</w:t>
      </w:r>
      <w:r>
        <w:rPr>
          <w:rFonts w:eastAsia="楷体_GB2312" w:cs="Times New Roman"/>
          <w:sz w:val="32"/>
          <w:szCs w:val="32"/>
        </w:rPr>
        <w:t>牵头）</w:t>
      </w:r>
    </w:p>
    <w:p>
      <w:pPr>
        <w:adjustRightInd w:val="0"/>
        <w:snapToGrid w:val="0"/>
        <w:spacing w:line="560" w:lineRule="exact"/>
        <w:ind w:firstLine="640" w:firstLineChars="200"/>
        <w:outlineLvl w:val="0"/>
        <w:rPr>
          <w:rFonts w:cs="Times New Roman"/>
          <w:color w:val="000000"/>
          <w:sz w:val="32"/>
          <w:szCs w:val="32"/>
        </w:rPr>
      </w:pPr>
      <w:r>
        <w:rPr>
          <w:rFonts w:eastAsia="楷体_GB2312" w:cs="Times New Roman"/>
          <w:color w:val="000000"/>
          <w:sz w:val="32"/>
          <w:szCs w:val="32"/>
        </w:rPr>
        <w:t>（五）加强移动源污染防治</w:t>
      </w:r>
    </w:p>
    <w:p>
      <w:pPr>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20.改善运输方式，推广使用新能源车辆。</w:t>
      </w:r>
      <w:r>
        <w:rPr>
          <w:rFonts w:eastAsia="仿宋_GB2312" w:cs="Times New Roman"/>
          <w:color w:val="000000"/>
          <w:sz w:val="32"/>
          <w:szCs w:val="32"/>
        </w:rPr>
        <w:t>加快推进铁路专用线和联运转运装卸衔接设施建设，提升现有专用线运输能力，推进铁路场站适货化改造。</w:t>
      </w:r>
      <w:r>
        <w:rPr>
          <w:rFonts w:hint="eastAsia" w:eastAsia="仿宋_GB2312" w:cs="Times New Roman"/>
          <w:color w:val="000000"/>
          <w:sz w:val="32"/>
          <w:szCs w:val="32"/>
          <w:lang w:val="en-US" w:eastAsia="zh-CN"/>
        </w:rPr>
        <w:t>提升大宗货物</w:t>
      </w:r>
      <w:r>
        <w:rPr>
          <w:rFonts w:eastAsia="仿宋_GB2312" w:cs="Times New Roman"/>
          <w:color w:val="000000"/>
          <w:sz w:val="32"/>
          <w:szCs w:val="32"/>
        </w:rPr>
        <w:t>年货运量150万吨以上的工矿企业、物流园区铁路专用线</w:t>
      </w:r>
      <w:r>
        <w:rPr>
          <w:rFonts w:hint="eastAsia" w:eastAsia="仿宋_GB2312" w:cs="Times New Roman"/>
          <w:color w:val="000000"/>
          <w:sz w:val="32"/>
          <w:szCs w:val="32"/>
          <w:lang w:val="en-US" w:eastAsia="zh-CN"/>
        </w:rPr>
        <w:t>接入比例</w:t>
      </w:r>
      <w:r>
        <w:rPr>
          <w:rFonts w:eastAsia="仿宋_GB2312" w:cs="Times New Roman"/>
          <w:color w:val="000000"/>
          <w:sz w:val="32"/>
          <w:szCs w:val="32"/>
        </w:rPr>
        <w:t>。</w:t>
      </w:r>
      <w:r>
        <w:rPr>
          <w:rFonts w:eastAsia="楷体_GB2312" w:cs="Times New Roman"/>
          <w:color w:val="000000"/>
          <w:sz w:val="32"/>
          <w:szCs w:val="32"/>
        </w:rPr>
        <w:t>（市交通运输局、市发展改革委、</w:t>
      </w:r>
      <w:r>
        <w:rPr>
          <w:rFonts w:hint="eastAsia" w:eastAsia="楷体_GB2312" w:cs="Times New Roman"/>
          <w:color w:val="000000"/>
          <w:sz w:val="32"/>
          <w:szCs w:val="32"/>
          <w:lang w:val="en-US" w:eastAsia="zh-CN"/>
        </w:rPr>
        <w:t>国铁济南局</w:t>
      </w:r>
      <w:r>
        <w:rPr>
          <w:rFonts w:eastAsia="楷体_GB2312" w:cs="Times New Roman"/>
          <w:color w:val="000000"/>
          <w:sz w:val="32"/>
          <w:szCs w:val="32"/>
        </w:rPr>
        <w:t>淄博车务段牵头）</w:t>
      </w:r>
      <w:r>
        <w:rPr>
          <w:rFonts w:eastAsia="仿宋_GB2312" w:cs="Times New Roman"/>
          <w:color w:val="000000"/>
          <w:sz w:val="32"/>
          <w:szCs w:val="32"/>
        </w:rPr>
        <w:t>2021年12月底前，</w:t>
      </w:r>
      <w:r>
        <w:rPr>
          <w:rFonts w:hint="eastAsia" w:eastAsia="仿宋_GB2312" w:cs="Times New Roman"/>
          <w:color w:val="000000"/>
          <w:sz w:val="32"/>
          <w:szCs w:val="32"/>
          <w:u w:val="none"/>
          <w:lang w:val="en-US" w:eastAsia="zh-CN"/>
        </w:rPr>
        <w:t>淄博铁鹰钢铁有限</w:t>
      </w:r>
      <w:r>
        <w:rPr>
          <w:rFonts w:hint="eastAsia" w:eastAsia="仿宋_GB2312" w:cs="Times New Roman"/>
          <w:color w:val="000000"/>
          <w:sz w:val="32"/>
          <w:szCs w:val="32"/>
          <w:lang w:val="en-US" w:eastAsia="zh-CN"/>
        </w:rPr>
        <w:t>公司</w:t>
      </w:r>
      <w:r>
        <w:rPr>
          <w:rFonts w:eastAsia="仿宋_GB2312" w:cs="Times New Roman"/>
          <w:color w:val="000000"/>
          <w:sz w:val="32"/>
          <w:szCs w:val="32"/>
        </w:rPr>
        <w:t>清洁运输比例达到60%。2021年新增、更新公交车中新能源公交车占比达到100%；主城区内新能源公交车占比达到100%；新能源或清洁能源出租车占比达到100%。鼓励个人购置使用新能源汽车，加快城市充电基础设施建设。推进</w:t>
      </w:r>
      <w:r>
        <w:rPr>
          <w:rFonts w:hint="eastAsia" w:eastAsia="仿宋_GB2312" w:cs="Times New Roman"/>
          <w:color w:val="000000"/>
          <w:sz w:val="32"/>
          <w:szCs w:val="32"/>
        </w:rPr>
        <w:t>“</w:t>
      </w:r>
      <w:r>
        <w:rPr>
          <w:rFonts w:eastAsia="仿宋_GB2312" w:cs="Times New Roman"/>
          <w:color w:val="000000"/>
          <w:sz w:val="32"/>
          <w:szCs w:val="32"/>
        </w:rPr>
        <w:t>加油站+充电桩</w:t>
      </w:r>
      <w:r>
        <w:rPr>
          <w:rFonts w:hint="eastAsia" w:eastAsia="仿宋_GB2312" w:cs="Times New Roman"/>
          <w:color w:val="000000"/>
          <w:sz w:val="32"/>
          <w:szCs w:val="32"/>
        </w:rPr>
        <w:t>”</w:t>
      </w:r>
      <w:r>
        <w:rPr>
          <w:rFonts w:eastAsia="仿宋_GB2312" w:cs="Times New Roman"/>
          <w:color w:val="000000"/>
          <w:sz w:val="32"/>
          <w:szCs w:val="32"/>
        </w:rPr>
        <w:t>混合运行模式，进一步提升新能源汽车充电能力，保障不断增长的充电需求。积极推进新能源渣土车环卫车更新工作。</w:t>
      </w:r>
      <w:r>
        <w:rPr>
          <w:rFonts w:eastAsia="楷体_GB2312" w:cs="Times New Roman"/>
          <w:color w:val="000000"/>
          <w:sz w:val="32"/>
          <w:szCs w:val="32"/>
        </w:rPr>
        <w:t>（市交通运输局、市城市管理局、市发展改革委、市公安局、市物流</w:t>
      </w:r>
      <w:r>
        <w:rPr>
          <w:rFonts w:hint="eastAsia" w:eastAsia="楷体_GB2312" w:cs="Times New Roman"/>
          <w:color w:val="000000"/>
          <w:sz w:val="32"/>
          <w:szCs w:val="32"/>
          <w:lang w:val="en-US" w:eastAsia="zh-CN"/>
        </w:rPr>
        <w:t>产业发展中心</w:t>
      </w:r>
      <w:r>
        <w:rPr>
          <w:rFonts w:eastAsia="楷体_GB2312" w:cs="Times New Roman"/>
          <w:color w:val="000000"/>
          <w:sz w:val="32"/>
          <w:szCs w:val="32"/>
        </w:rPr>
        <w:t>、市工业和信息化局牵头）</w:t>
      </w:r>
    </w:p>
    <w:p>
      <w:pPr>
        <w:widowControl/>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21.加快淘汰老旧车辆。</w:t>
      </w:r>
      <w:r>
        <w:rPr>
          <w:rFonts w:hint="eastAsia" w:eastAsia="仿宋_GB2312" w:cs="Times New Roman"/>
          <w:color w:val="000000"/>
          <w:sz w:val="32"/>
          <w:szCs w:val="32"/>
          <w:lang w:val="en-US" w:eastAsia="zh-CN"/>
        </w:rPr>
        <w:t>按时</w:t>
      </w:r>
      <w:r>
        <w:rPr>
          <w:rFonts w:eastAsia="仿宋_GB2312" w:cs="Times New Roman"/>
          <w:color w:val="000000"/>
          <w:sz w:val="32"/>
          <w:szCs w:val="32"/>
        </w:rPr>
        <w:t>完成省下达的国三柴油货车淘汰任务，同时禁止国三及以下柴油车转入我市；逐渐将国四标准重型柴油车纳入全市限行政策，限制二手国四标准营运重型柴油车辆过户；逐渐提升国六排放标准重型货车</w:t>
      </w:r>
      <w:r>
        <w:rPr>
          <w:rFonts w:hint="eastAsia" w:eastAsia="仿宋_GB2312" w:cs="Times New Roman"/>
          <w:color w:val="000000"/>
          <w:sz w:val="32"/>
          <w:szCs w:val="32"/>
          <w:lang w:val="en-US" w:eastAsia="zh-CN"/>
        </w:rPr>
        <w:t>使用</w:t>
      </w:r>
      <w:r>
        <w:rPr>
          <w:rFonts w:eastAsia="仿宋_GB2312" w:cs="Times New Roman"/>
          <w:color w:val="000000"/>
          <w:sz w:val="32"/>
          <w:szCs w:val="32"/>
        </w:rPr>
        <w:t>占比</w:t>
      </w:r>
      <w:r>
        <w:rPr>
          <w:rFonts w:eastAsia="仿宋_GB2312" w:cs="Times New Roman"/>
          <w:sz w:val="32"/>
          <w:szCs w:val="24"/>
        </w:rPr>
        <w:t>。</w:t>
      </w:r>
      <w:r>
        <w:rPr>
          <w:rFonts w:eastAsia="楷体_GB2312" w:cs="Times New Roman"/>
          <w:color w:val="000000"/>
          <w:sz w:val="32"/>
          <w:szCs w:val="32"/>
        </w:rPr>
        <w:t>（市交通运输局、市公安局牵头）</w:t>
      </w:r>
    </w:p>
    <w:p>
      <w:pPr>
        <w:adjustRightInd w:val="0"/>
        <w:snapToGrid w:val="0"/>
        <w:spacing w:line="560" w:lineRule="exact"/>
        <w:ind w:firstLine="642" w:firstLineChars="200"/>
        <w:rPr>
          <w:rFonts w:eastAsia="仿宋_GB2312" w:cs="Times New Roman"/>
          <w:color w:val="000000"/>
          <w:sz w:val="32"/>
          <w:szCs w:val="32"/>
        </w:rPr>
      </w:pPr>
      <w:r>
        <w:rPr>
          <w:rFonts w:eastAsia="仿宋_GB2312" w:cs="Times New Roman"/>
          <w:b/>
          <w:bCs/>
          <w:color w:val="000000"/>
          <w:sz w:val="32"/>
          <w:szCs w:val="32"/>
        </w:rPr>
        <w:t>22.进一步加强机动车排气污染防治监管。</w:t>
      </w:r>
      <w:r>
        <w:rPr>
          <w:rFonts w:eastAsia="仿宋_GB2312" w:cs="Times New Roman"/>
          <w:color w:val="000000"/>
          <w:sz w:val="32"/>
          <w:szCs w:val="32"/>
        </w:rPr>
        <w:t>加大在用车监督执法力度，充分利用固定式机动车尾气遥感监测和冒黑烟抓拍系统，依法对不合格机动车进行处罚。</w:t>
      </w:r>
      <w:r>
        <w:rPr>
          <w:rFonts w:eastAsia="楷体_GB2312" w:cs="Times New Roman"/>
          <w:color w:val="000000"/>
          <w:sz w:val="32"/>
          <w:szCs w:val="32"/>
        </w:rPr>
        <w:t>（市公安局、市生态环境局牵头）</w:t>
      </w:r>
      <w:r>
        <w:rPr>
          <w:rFonts w:eastAsia="仿宋_GB2312" w:cs="Times New Roman"/>
          <w:color w:val="000000"/>
          <w:sz w:val="32"/>
          <w:szCs w:val="32"/>
        </w:rPr>
        <w:t>组织开展国六排放标准重型燃气车专项检查，通过路检路查、入户检查等方式，检查核实环保信息公开、污染控制装置和排放等情况，重点核实三元催化器和后氧传感器是否异常，严厉查处制售假冒伪劣三元催化器及回收、私拆三元催化器行为，对查出异常的车辆，除按规定进行处罚外，还要倒查排放检验机构年检情况，2021年12月底前，查验300辆重型国五及国六燃气车后处置装置情况；检查排放检验机构410个次，实现排放检验机构监管全覆盖；对117家重点用车企业安装门禁系统；安装3000套重型柴油车车载诊断系统在线监控设备。</w:t>
      </w:r>
      <w:r>
        <w:rPr>
          <w:rFonts w:eastAsia="楷体_GB2312" w:cs="Times New Roman"/>
          <w:color w:val="000000"/>
          <w:sz w:val="32"/>
          <w:szCs w:val="32"/>
        </w:rPr>
        <w:t>（市生态环境局牵头）</w:t>
      </w:r>
    </w:p>
    <w:p>
      <w:pPr>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23.加强非道路移动机械监管。</w:t>
      </w:r>
      <w:r>
        <w:rPr>
          <w:rFonts w:eastAsia="仿宋_GB2312" w:cs="Times New Roman"/>
          <w:color w:val="000000"/>
          <w:sz w:val="32"/>
          <w:szCs w:val="32"/>
        </w:rPr>
        <w:t>进一步推进非道路移动机械喷码登记及检测工作，全面淘汰企业内部的国Ⅰ非道路移动机械，禁止使用未喷码非道路移动机械。2021年12月底前，开展非道路移动机械检测3050辆以上，做到施工工地、铁路货场、物流园区、高排放控制区等重点场所全覆盖；</w:t>
      </w:r>
      <w:r>
        <w:rPr>
          <w:rFonts w:eastAsia="仿宋_GB2312" w:cs="Times New Roman"/>
          <w:color w:val="000000"/>
          <w:sz w:val="32"/>
          <w:szCs w:val="32"/>
          <w:lang w:bidi="ar"/>
        </w:rPr>
        <w:t>安装5000套非道路移动机械实时定位系统。</w:t>
      </w:r>
      <w:r>
        <w:rPr>
          <w:rFonts w:eastAsia="楷体_GB2312" w:cs="Times New Roman"/>
          <w:color w:val="000000"/>
          <w:sz w:val="32"/>
          <w:szCs w:val="32"/>
        </w:rPr>
        <w:t>（市生态环境局牵头）</w:t>
      </w:r>
      <w:r>
        <w:rPr>
          <w:rFonts w:eastAsia="仿宋_GB2312" w:cs="Times New Roman"/>
          <w:color w:val="000000"/>
          <w:sz w:val="32"/>
          <w:szCs w:val="32"/>
        </w:rPr>
        <w:t>加强非道路移动源执法检查，责令冒黑烟、污染物未达标排放车辆停止作业，对用车单位</w:t>
      </w:r>
      <w:r>
        <w:rPr>
          <w:rFonts w:hint="eastAsia" w:eastAsia="仿宋_GB2312" w:cs="Times New Roman"/>
          <w:color w:val="000000"/>
          <w:sz w:val="32"/>
          <w:szCs w:val="32"/>
        </w:rPr>
        <w:t>、</w:t>
      </w:r>
      <w:r>
        <w:rPr>
          <w:rFonts w:eastAsia="仿宋_GB2312" w:cs="Times New Roman"/>
          <w:color w:val="000000"/>
          <w:sz w:val="32"/>
          <w:szCs w:val="32"/>
        </w:rPr>
        <w:t>工程标段相关负责人依法查处。</w:t>
      </w:r>
      <w:r>
        <w:rPr>
          <w:rFonts w:eastAsia="楷体_GB2312" w:cs="Times New Roman"/>
          <w:color w:val="000000"/>
          <w:sz w:val="32"/>
          <w:szCs w:val="32"/>
        </w:rPr>
        <w:t>（市生态环境局、市住房城乡建设局、市交通运输局、市水利局牵头）</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（六）强化扬尘污染防治</w:t>
      </w:r>
    </w:p>
    <w:p>
      <w:pPr>
        <w:adjustRightInd w:val="0"/>
        <w:snapToGrid w:val="0"/>
        <w:spacing w:line="560" w:lineRule="exact"/>
        <w:ind w:firstLine="642" w:firstLineChars="200"/>
        <w:rPr>
          <w:rFonts w:eastAsia="仿宋_GB2312" w:cs="Times New Roman"/>
          <w:sz w:val="32"/>
          <w:szCs w:val="32"/>
        </w:rPr>
      </w:pPr>
      <w:r>
        <w:rPr>
          <w:rFonts w:eastAsia="仿宋_GB2312" w:cs="Times New Roman"/>
          <w:b/>
          <w:bCs/>
          <w:sz w:val="32"/>
          <w:szCs w:val="32"/>
        </w:rPr>
        <w:t>24.强化施工工地管控。</w:t>
      </w:r>
      <w:r>
        <w:rPr>
          <w:rFonts w:eastAsia="仿宋_GB2312" w:cs="Times New Roman"/>
          <w:sz w:val="32"/>
          <w:szCs w:val="32"/>
        </w:rPr>
        <w:t>建筑施工工地严格落实</w:t>
      </w:r>
      <w:r>
        <w:rPr>
          <w:rFonts w:hint="eastAsia" w:eastAsia="仿宋_GB2312" w:cs="Times New Roman"/>
          <w:sz w:val="32"/>
          <w:szCs w:val="32"/>
        </w:rPr>
        <w:t>“</w:t>
      </w:r>
      <w:r>
        <w:rPr>
          <w:rFonts w:eastAsia="仿宋_GB2312" w:cs="Times New Roman"/>
          <w:sz w:val="32"/>
          <w:szCs w:val="32"/>
        </w:rPr>
        <w:t>八个100%</w:t>
      </w:r>
      <w:r>
        <w:rPr>
          <w:rFonts w:hint="eastAsia" w:eastAsia="仿宋_GB2312" w:cs="Times New Roman"/>
          <w:sz w:val="32"/>
          <w:szCs w:val="32"/>
        </w:rPr>
        <w:t>”</w:t>
      </w:r>
      <w:r>
        <w:rPr>
          <w:rFonts w:eastAsia="仿宋_GB2312" w:cs="Times New Roman"/>
          <w:sz w:val="32"/>
          <w:szCs w:val="32"/>
        </w:rPr>
        <w:t>、其他工地严格落实</w:t>
      </w:r>
      <w:r>
        <w:rPr>
          <w:rFonts w:hint="eastAsia" w:eastAsia="仿宋_GB2312" w:cs="Times New Roman"/>
          <w:sz w:val="32"/>
          <w:szCs w:val="32"/>
        </w:rPr>
        <w:t>“</w:t>
      </w:r>
      <w:r>
        <w:rPr>
          <w:rFonts w:eastAsia="仿宋_GB2312" w:cs="Times New Roman"/>
          <w:sz w:val="32"/>
          <w:szCs w:val="32"/>
        </w:rPr>
        <w:t>六个100%</w:t>
      </w:r>
      <w:r>
        <w:rPr>
          <w:rFonts w:hint="eastAsia" w:eastAsia="仿宋_GB2312" w:cs="Times New Roman"/>
          <w:sz w:val="32"/>
          <w:szCs w:val="32"/>
        </w:rPr>
        <w:t>”</w:t>
      </w:r>
      <w:r>
        <w:rPr>
          <w:rFonts w:eastAsia="仿宋_GB2312" w:cs="Times New Roman"/>
          <w:sz w:val="32"/>
          <w:szCs w:val="32"/>
        </w:rPr>
        <w:t>要求，道路、水利等线性工程实行分段施工，施工过程确保裸土苫盖完全，雾炮等抑尘设施正常开启。建筑废弃物和拆卸物料应分类集中整齐堆放在划定区域，用不小于</w:t>
      </w:r>
      <w:r>
        <w:rPr>
          <w:rFonts w:hint="eastAsia" w:eastAsia="仿宋_GB2312" w:cs="Times New Roman"/>
          <w:sz w:val="32"/>
          <w:szCs w:val="32"/>
        </w:rPr>
        <w:t>800</w:t>
      </w:r>
      <w:r>
        <w:rPr>
          <w:rFonts w:eastAsia="仿宋_GB2312" w:cs="Times New Roman"/>
          <w:sz w:val="32"/>
          <w:szCs w:val="32"/>
        </w:rPr>
        <w:t>目/100平方厘米的防尘网进行密闭覆盖，并定时洒水，保持湿润。</w:t>
      </w:r>
      <w:r>
        <w:rPr>
          <w:rFonts w:hint="eastAsia" w:eastAsia="仿宋_GB2312" w:cs="Times New Roman"/>
          <w:sz w:val="32"/>
          <w:szCs w:val="32"/>
        </w:rPr>
        <w:t>鼓励在</w:t>
      </w:r>
      <w:r>
        <w:rPr>
          <w:rFonts w:eastAsia="仿宋_GB2312" w:cs="Times New Roman"/>
          <w:sz w:val="32"/>
          <w:szCs w:val="32"/>
        </w:rPr>
        <w:t>围挡、塔吊、</w:t>
      </w:r>
      <w:r>
        <w:rPr>
          <w:rFonts w:hint="eastAsia" w:eastAsia="仿宋_GB2312" w:cs="Times New Roman"/>
          <w:sz w:val="32"/>
          <w:szCs w:val="32"/>
          <w:lang w:val="en-US" w:eastAsia="zh-CN"/>
        </w:rPr>
        <w:t>挖掘设备</w:t>
      </w:r>
      <w:r>
        <w:rPr>
          <w:rFonts w:eastAsia="仿宋_GB2312" w:cs="Times New Roman"/>
          <w:sz w:val="32"/>
          <w:szCs w:val="32"/>
        </w:rPr>
        <w:t>安装喷淋系统，</w:t>
      </w:r>
      <w:r>
        <w:rPr>
          <w:rFonts w:hint="eastAsia" w:eastAsia="仿宋_GB2312" w:cs="Times New Roman"/>
          <w:sz w:val="32"/>
          <w:szCs w:val="32"/>
        </w:rPr>
        <w:t>并</w:t>
      </w:r>
      <w:r>
        <w:rPr>
          <w:rFonts w:eastAsia="仿宋_GB2312" w:cs="Times New Roman"/>
          <w:sz w:val="32"/>
          <w:szCs w:val="32"/>
        </w:rPr>
        <w:t>结合气候季节特点施工期间全过程开启。加大对建筑工地扬尘管控巡查力度，每周检查比例不少于65%。（</w:t>
      </w:r>
      <w:r>
        <w:rPr>
          <w:rFonts w:eastAsia="楷体_GB2312" w:cs="Times New Roman"/>
          <w:sz w:val="32"/>
          <w:szCs w:val="32"/>
        </w:rPr>
        <w:t>市住房城乡建设局、市交通运输局、市水利局牵头</w:t>
      </w:r>
      <w:r>
        <w:rPr>
          <w:rFonts w:eastAsia="仿宋_GB2312" w:cs="Times New Roman"/>
          <w:sz w:val="32"/>
          <w:szCs w:val="32"/>
        </w:rPr>
        <w:t>）严控渣土车运输，原则上白天实施运输作业，运输路线避开重点区域。（</w:t>
      </w:r>
      <w:r>
        <w:rPr>
          <w:rFonts w:eastAsia="楷体_GB2312" w:cs="Times New Roman"/>
          <w:sz w:val="32"/>
          <w:szCs w:val="32"/>
        </w:rPr>
        <w:t>市住房城乡建设局、市交通运输局、市城市管理局、市公安局、市水利局、市生态环境局牵头</w:t>
      </w:r>
      <w:r>
        <w:rPr>
          <w:rFonts w:eastAsia="仿宋_GB2312" w:cs="Times New Roman"/>
          <w:sz w:val="32"/>
          <w:szCs w:val="32"/>
        </w:rPr>
        <w:t>）</w:t>
      </w:r>
    </w:p>
    <w:p>
      <w:pPr>
        <w:adjustRightInd w:val="0"/>
        <w:snapToGrid w:val="0"/>
        <w:spacing w:line="560" w:lineRule="exact"/>
        <w:ind w:firstLine="642" w:firstLineChars="200"/>
        <w:rPr>
          <w:rFonts w:eastAsia="仿宋_GB2312" w:cs="Times New Roman"/>
          <w:sz w:val="32"/>
          <w:szCs w:val="32"/>
        </w:rPr>
      </w:pPr>
      <w:r>
        <w:rPr>
          <w:rFonts w:eastAsia="仿宋_GB2312" w:cs="Times New Roman"/>
          <w:b/>
          <w:bCs/>
          <w:sz w:val="32"/>
          <w:szCs w:val="32"/>
        </w:rPr>
        <w:t>25.强化道路扬尘管控。</w:t>
      </w:r>
      <w:r>
        <w:rPr>
          <w:rFonts w:eastAsia="仿宋_GB2312" w:cs="Times New Roman"/>
          <w:sz w:val="32"/>
          <w:szCs w:val="32"/>
        </w:rPr>
        <w:t>强化道路扬尘整治，推进吸尘式机械化湿式清扫作业，加大城市外环路、城市出入口、城乡结合部等重要路段冲洗保洁力度，国、省道机械化作业比例达到90%。</w:t>
      </w:r>
      <w:r>
        <w:rPr>
          <w:rFonts w:eastAsia="楷体_GB2312" w:cs="Times New Roman"/>
          <w:sz w:val="32"/>
          <w:szCs w:val="32"/>
        </w:rPr>
        <w:t>（市城市管理局、市交通运输局牵头）</w:t>
      </w:r>
      <w:r>
        <w:rPr>
          <w:rFonts w:eastAsia="仿宋_GB2312" w:cs="Times New Roman"/>
          <w:sz w:val="32"/>
          <w:szCs w:val="32"/>
        </w:rPr>
        <w:t>城区主次干道机动车道推行</w:t>
      </w:r>
      <w:r>
        <w:rPr>
          <w:rFonts w:hint="eastAsia" w:eastAsia="仿宋_GB2312" w:cs="Times New Roman"/>
          <w:sz w:val="32"/>
          <w:szCs w:val="32"/>
        </w:rPr>
        <w:t>“</w:t>
      </w:r>
      <w:r>
        <w:rPr>
          <w:rFonts w:eastAsia="仿宋_GB2312" w:cs="Times New Roman"/>
          <w:sz w:val="32"/>
          <w:szCs w:val="32"/>
        </w:rPr>
        <w:t>1洗、2扫、2洒水</w:t>
      </w:r>
      <w:r>
        <w:rPr>
          <w:rFonts w:hint="eastAsia" w:eastAsia="仿宋_GB2312" w:cs="Times New Roman"/>
          <w:sz w:val="32"/>
          <w:szCs w:val="32"/>
        </w:rPr>
        <w:t>”</w:t>
      </w:r>
      <w:r>
        <w:rPr>
          <w:rFonts w:eastAsia="仿宋_GB2312" w:cs="Times New Roman"/>
          <w:sz w:val="32"/>
          <w:szCs w:val="32"/>
        </w:rPr>
        <w:t>作业模式。建立智慧环卫平台，每月对各环卫作业企业的洗扫、冲洗洒水频次落实情况进行抽查，抽查结果纳入城市精细化管理考评重点工作。积极推行道路机械化多级联扫作业模式，开展城市夜间清洗行动；积极开展道路积尘负荷测试，机动车道不超过3克/平方米、非机动车道不超过8克/平方米、人行道不超过10克/平方米、外环路不超10克/平方米</w:t>
      </w:r>
      <w:r>
        <w:rPr>
          <w:rFonts w:hint="eastAsia" w:eastAsia="仿宋_GB2312" w:cs="Times New Roman"/>
          <w:sz w:val="32"/>
          <w:szCs w:val="32"/>
          <w:lang w:eastAsia="zh-CN"/>
        </w:rPr>
        <w:t>（</w:t>
      </w:r>
      <w:r>
        <w:rPr>
          <w:rFonts w:hint="eastAsia" w:eastAsia="仿宋_GB2312" w:cs="Times New Roman"/>
          <w:sz w:val="32"/>
          <w:szCs w:val="32"/>
          <w:lang w:val="en-US" w:eastAsia="zh-CN"/>
        </w:rPr>
        <w:t>冬季结冰期除外，结冰期期间根据气温和道路状况适时调整道路保洁模式</w:t>
      </w:r>
      <w:r>
        <w:rPr>
          <w:rFonts w:hint="eastAsia" w:eastAsia="仿宋_GB2312" w:cs="Times New Roman"/>
          <w:sz w:val="32"/>
          <w:szCs w:val="32"/>
          <w:lang w:eastAsia="zh-CN"/>
        </w:rPr>
        <w:t>）</w:t>
      </w:r>
      <w:r>
        <w:rPr>
          <w:rFonts w:eastAsia="仿宋_GB2312" w:cs="Times New Roman"/>
          <w:sz w:val="32"/>
          <w:szCs w:val="32"/>
        </w:rPr>
        <w:t>。</w:t>
      </w:r>
      <w:r>
        <w:rPr>
          <w:rFonts w:eastAsia="楷体_GB2312" w:cs="Times New Roman"/>
          <w:sz w:val="32"/>
          <w:szCs w:val="32"/>
        </w:rPr>
        <w:t>（市城市管理局牵头）</w:t>
      </w:r>
    </w:p>
    <w:p>
      <w:pPr>
        <w:adjustRightInd w:val="0"/>
        <w:snapToGrid w:val="0"/>
        <w:spacing w:line="560" w:lineRule="exact"/>
        <w:ind w:firstLine="642" w:firstLineChars="200"/>
        <w:rPr>
          <w:rFonts w:eastAsia="仿宋_GB2312" w:cs="Times New Roman"/>
          <w:sz w:val="32"/>
          <w:szCs w:val="32"/>
        </w:rPr>
      </w:pPr>
      <w:r>
        <w:rPr>
          <w:rFonts w:eastAsia="仿宋_GB2312" w:cs="Times New Roman"/>
          <w:b/>
          <w:bCs/>
          <w:sz w:val="32"/>
          <w:szCs w:val="32"/>
        </w:rPr>
        <w:t>26.深化矿山综合整治。</w:t>
      </w:r>
      <w:r>
        <w:rPr>
          <w:rFonts w:eastAsia="仿宋_GB2312" w:cs="Times New Roman"/>
          <w:sz w:val="32"/>
          <w:szCs w:val="32"/>
        </w:rPr>
        <w:t>推动矿石采选企业全面开展装备升级及深度治理，针对原料运输、贮存、装卸、破碎、转运、筛分、出料等生产环节存在的无组织排放污染问题进行全流程</w:t>
      </w:r>
      <w:r>
        <w:rPr>
          <w:rFonts w:hint="eastAsia" w:eastAsia="仿宋_GB2312" w:cs="Times New Roman"/>
          <w:sz w:val="32"/>
          <w:szCs w:val="32"/>
          <w:lang w:val="en-US" w:eastAsia="zh-CN"/>
        </w:rPr>
        <w:t>管控</w:t>
      </w:r>
      <w:r>
        <w:rPr>
          <w:rFonts w:eastAsia="仿宋_GB2312" w:cs="Times New Roman"/>
          <w:sz w:val="32"/>
          <w:szCs w:val="32"/>
        </w:rPr>
        <w:t>，</w:t>
      </w:r>
      <w:r>
        <w:rPr>
          <w:rFonts w:hint="eastAsia" w:eastAsia="仿宋_GB2312" w:cs="Times New Roman"/>
          <w:sz w:val="32"/>
          <w:szCs w:val="32"/>
        </w:rPr>
        <w:t>督促矿山</w:t>
      </w:r>
      <w:r>
        <w:rPr>
          <w:rFonts w:eastAsia="仿宋_GB2312" w:cs="Times New Roman"/>
          <w:sz w:val="32"/>
          <w:szCs w:val="32"/>
        </w:rPr>
        <w:t>安装视频监控和PM</w:t>
      </w:r>
      <w:r>
        <w:rPr>
          <w:rFonts w:eastAsia="仿宋_GB2312" w:cs="Times New Roman"/>
          <w:sz w:val="32"/>
          <w:szCs w:val="32"/>
          <w:vertAlign w:val="subscript"/>
        </w:rPr>
        <w:t>10</w:t>
      </w:r>
      <w:r>
        <w:rPr>
          <w:rFonts w:eastAsia="仿宋_GB2312" w:cs="Times New Roman"/>
          <w:sz w:val="32"/>
          <w:szCs w:val="32"/>
        </w:rPr>
        <w:t>监测设备，优化运输方式，减少污染物排放。</w:t>
      </w:r>
      <w:r>
        <w:rPr>
          <w:rFonts w:eastAsia="楷体_GB2312" w:cs="Times New Roman"/>
          <w:sz w:val="32"/>
          <w:szCs w:val="32"/>
        </w:rPr>
        <w:t>（市自然资源和规划局牵头）</w:t>
      </w:r>
    </w:p>
    <w:p>
      <w:pPr>
        <w:adjustRightInd w:val="0"/>
        <w:snapToGrid w:val="0"/>
        <w:spacing w:line="560" w:lineRule="exact"/>
        <w:ind w:firstLine="642" w:firstLineChars="200"/>
        <w:rPr>
          <w:rFonts w:eastAsia="楷体_GB2312" w:cs="Times New Roman"/>
          <w:sz w:val="32"/>
          <w:szCs w:val="32"/>
        </w:rPr>
      </w:pPr>
      <w:r>
        <w:rPr>
          <w:rFonts w:eastAsia="仿宋_GB2312" w:cs="Times New Roman"/>
          <w:b/>
          <w:bCs/>
          <w:sz w:val="32"/>
          <w:szCs w:val="32"/>
        </w:rPr>
        <w:t>27.深入开展工业企业扬尘治理。</w:t>
      </w:r>
      <w:r>
        <w:rPr>
          <w:rFonts w:eastAsia="仿宋_GB2312" w:cs="Times New Roman"/>
          <w:sz w:val="32"/>
          <w:szCs w:val="32"/>
        </w:rPr>
        <w:t>加强颗粒物排放在线监管，确保颗粒物达标排放，严控小时浓度超标情况。深入开展工业企业厂区积尘负荷检测工作，指导企业有效清扫厂区积尘，对厂区主要道路进行硬化。强化工业企业粉状物料堆场封闭管理，作业时雾炮、喷淋等抑尘装置正常开启</w:t>
      </w:r>
      <w:r>
        <w:rPr>
          <w:rFonts w:eastAsia="仿宋_GB2312" w:cs="Times New Roman"/>
          <w:sz w:val="32"/>
          <w:szCs w:val="32"/>
          <w:lang w:bidi="ar"/>
        </w:rPr>
        <w:t>。</w:t>
      </w:r>
      <w:r>
        <w:rPr>
          <w:rFonts w:eastAsia="仿宋_GB2312" w:cs="Times New Roman"/>
          <w:sz w:val="32"/>
          <w:szCs w:val="32"/>
        </w:rPr>
        <w:t>对</w:t>
      </w:r>
      <w:r>
        <w:rPr>
          <w:rFonts w:eastAsia="仿宋_GB2312" w:cs="Times New Roman"/>
          <w:sz w:val="32"/>
          <w:szCs w:val="32"/>
          <w:lang w:bidi="ar"/>
        </w:rPr>
        <w:t>规模以上的</w:t>
      </w:r>
      <w:r>
        <w:rPr>
          <w:rFonts w:eastAsia="仿宋_GB2312" w:cs="Times New Roman"/>
          <w:sz w:val="32"/>
          <w:szCs w:val="32"/>
        </w:rPr>
        <w:t>水泥、建陶、耐材、煤电、钢铁企业开展摸底排查，</w:t>
      </w:r>
      <w:r>
        <w:rPr>
          <w:rFonts w:eastAsia="仿宋_GB2312" w:cs="Times New Roman"/>
          <w:sz w:val="32"/>
          <w:szCs w:val="32"/>
          <w:lang w:bidi="ar"/>
        </w:rPr>
        <w:t>全面推</w:t>
      </w:r>
      <w:r>
        <w:rPr>
          <w:rFonts w:hint="eastAsia" w:eastAsia="仿宋_GB2312" w:cs="Times New Roman"/>
          <w:sz w:val="32"/>
          <w:szCs w:val="32"/>
          <w:lang w:bidi="ar"/>
        </w:rPr>
        <w:t>进</w:t>
      </w:r>
      <w:r>
        <w:rPr>
          <w:rFonts w:eastAsia="仿宋_GB2312" w:cs="Times New Roman"/>
          <w:sz w:val="32"/>
          <w:szCs w:val="32"/>
          <w:lang w:bidi="ar"/>
        </w:rPr>
        <w:t>企业在</w:t>
      </w:r>
      <w:r>
        <w:rPr>
          <w:rFonts w:eastAsia="仿宋_GB2312" w:cs="Times New Roman"/>
          <w:sz w:val="32"/>
          <w:szCs w:val="32"/>
        </w:rPr>
        <w:t>料仓、堆场等涉尘区域建设</w:t>
      </w:r>
      <w:r>
        <w:rPr>
          <w:rFonts w:eastAsia="仿宋_GB2312" w:cs="Times New Roman"/>
          <w:sz w:val="32"/>
          <w:szCs w:val="32"/>
          <w:lang w:bidi="ar"/>
        </w:rPr>
        <w:t>安装</w:t>
      </w:r>
      <w:r>
        <w:rPr>
          <w:rFonts w:eastAsia="仿宋_GB2312" w:cs="Times New Roman"/>
          <w:sz w:val="32"/>
          <w:szCs w:val="32"/>
        </w:rPr>
        <w:t>智能喷淋（喷雾）降尘设施。</w:t>
      </w:r>
      <w:r>
        <w:rPr>
          <w:rFonts w:eastAsia="楷体_GB2312" w:cs="Times New Roman"/>
          <w:sz w:val="32"/>
          <w:szCs w:val="32"/>
        </w:rPr>
        <w:t>（市生态环境局牵头）</w:t>
      </w:r>
    </w:p>
    <w:p>
      <w:pPr>
        <w:adjustRightInd w:val="0"/>
        <w:snapToGrid w:val="0"/>
        <w:spacing w:line="560" w:lineRule="exact"/>
        <w:ind w:firstLine="642" w:firstLineChars="200"/>
        <w:rPr>
          <w:rFonts w:eastAsia="仿宋_GB2312" w:cs="Times New Roman"/>
          <w:color w:val="000000"/>
          <w:sz w:val="32"/>
          <w:szCs w:val="32"/>
        </w:rPr>
      </w:pPr>
      <w:r>
        <w:rPr>
          <w:rFonts w:eastAsia="仿宋_GB2312" w:cs="Times New Roman"/>
          <w:b/>
          <w:bCs/>
          <w:sz w:val="32"/>
          <w:szCs w:val="32"/>
        </w:rPr>
        <w:t>28.开展裸土覆盖专项整治。</w:t>
      </w:r>
      <w:r>
        <w:rPr>
          <w:rFonts w:eastAsia="仿宋_GB2312" w:cs="Times New Roman"/>
          <w:sz w:val="32"/>
          <w:szCs w:val="32"/>
        </w:rPr>
        <w:t>全面开展裸露地面防尘覆盖和绿化覆盖综合整治，重点对土方作业区、长期闲置</w:t>
      </w:r>
      <w:r>
        <w:rPr>
          <w:rFonts w:hint="eastAsia" w:eastAsia="仿宋_GB2312" w:cs="Times New Roman"/>
          <w:sz w:val="32"/>
          <w:szCs w:val="32"/>
          <w:lang w:val="en-US" w:eastAsia="zh-CN"/>
        </w:rPr>
        <w:t>空地</w:t>
      </w:r>
      <w:r>
        <w:rPr>
          <w:rFonts w:eastAsia="仿宋_GB2312" w:cs="Times New Roman"/>
          <w:sz w:val="32"/>
          <w:szCs w:val="32"/>
        </w:rPr>
        <w:t>、临时渣土堆场及主次干道两侧裸土，进行整治覆盖，推广建筑工地裸土绿化覆盖作业方式。主管部门每月至少开展2次巡查，对发现的问题，立即责令整改，对存在的违法行为严肃查处，2021年12月底前城市建成区消除裸地。</w:t>
      </w:r>
      <w:r>
        <w:rPr>
          <w:rFonts w:eastAsia="楷体_GB2312" w:cs="Times New Roman"/>
          <w:sz w:val="32"/>
          <w:szCs w:val="32"/>
        </w:rPr>
        <w:t>（市城市管理局、市住房城乡建设局、市交通运输局、市水利局、市生态环境局牵头）</w:t>
      </w:r>
      <w:r>
        <w:rPr>
          <w:rFonts w:eastAsia="仿宋_GB2312" w:cs="Times New Roman"/>
          <w:sz w:val="32"/>
          <w:szCs w:val="32"/>
        </w:rPr>
        <w:t>各区县每月降尘量</w:t>
      </w:r>
      <w:r>
        <w:rPr>
          <w:rFonts w:eastAsia="仿宋_GB2312" w:cs="Times New Roman"/>
          <w:color w:val="000000"/>
          <w:sz w:val="32"/>
          <w:szCs w:val="32"/>
        </w:rPr>
        <w:t>不高于7吨/月</w:t>
      </w:r>
      <w:r>
        <w:rPr>
          <w:rFonts w:hint="eastAsia" w:eastAsia="仿宋_GB2312" w:cs="Times New Roman"/>
          <w:color w:val="000000"/>
          <w:sz w:val="32"/>
          <w:szCs w:val="32"/>
          <w:lang w:val="en-US" w:eastAsia="zh-CN"/>
        </w:rPr>
        <w:t>·</w:t>
      </w:r>
      <w:r>
        <w:rPr>
          <w:rFonts w:eastAsia="仿宋_GB2312" w:cs="Times New Roman"/>
          <w:color w:val="000000"/>
          <w:sz w:val="32"/>
          <w:szCs w:val="32"/>
        </w:rPr>
        <w:t>平方公里，且</w:t>
      </w:r>
      <w:r>
        <w:rPr>
          <w:rFonts w:eastAsia="仿宋_GB2312" w:cs="Times New Roman"/>
          <w:sz w:val="32"/>
          <w:szCs w:val="32"/>
        </w:rPr>
        <w:t>不得高于去年同期降尘量，其中，2020年降尘量超过3吨/平方公里的月份，相关区县降尘量同比降低15%以上。</w:t>
      </w:r>
      <w:r>
        <w:rPr>
          <w:rFonts w:eastAsia="楷体_GB2312" w:cs="Times New Roman"/>
          <w:sz w:val="32"/>
          <w:szCs w:val="32"/>
        </w:rPr>
        <w:t>（各区县人民政府牵头）</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（七）深化面源污染防治</w:t>
      </w:r>
    </w:p>
    <w:p>
      <w:pPr>
        <w:widowControl/>
        <w:adjustRightInd w:val="0"/>
        <w:snapToGrid w:val="0"/>
        <w:spacing w:line="560" w:lineRule="exact"/>
        <w:ind w:firstLine="642" w:firstLineChars="200"/>
        <w:rPr>
          <w:rFonts w:eastAsia="仿宋_GB2312" w:cs="Times New Roman"/>
          <w:sz w:val="32"/>
          <w:szCs w:val="32"/>
          <w:lang w:bidi="ar"/>
        </w:rPr>
      </w:pPr>
      <w:r>
        <w:rPr>
          <w:rFonts w:eastAsia="仿宋_GB2312" w:cs="Times New Roman"/>
          <w:b/>
          <w:bCs/>
          <w:sz w:val="32"/>
          <w:szCs w:val="32"/>
        </w:rPr>
        <w:t>29.</w:t>
      </w:r>
      <w:r>
        <w:rPr>
          <w:rFonts w:eastAsia="仿宋_GB2312" w:cs="Times New Roman"/>
          <w:b/>
          <w:bCs/>
          <w:sz w:val="32"/>
          <w:szCs w:val="32"/>
          <w:lang w:bidi="ar"/>
        </w:rPr>
        <w:t>强化烟花爆竹禁放管理。</w:t>
      </w:r>
      <w:r>
        <w:rPr>
          <w:rFonts w:eastAsia="仿宋_GB2312" w:cs="Times New Roman"/>
          <w:sz w:val="32"/>
          <w:szCs w:val="32"/>
          <w:lang w:bidi="ar"/>
        </w:rPr>
        <w:t>全域重点时段烟花爆竹禁售、禁燃、禁放，禁止举办焰火晚会以及其他焰火燃放活动。加强巡查管控，及时制止私放行为。</w:t>
      </w:r>
      <w:r>
        <w:rPr>
          <w:rFonts w:eastAsia="楷体_GB2312" w:cs="Times New Roman"/>
          <w:sz w:val="32"/>
          <w:szCs w:val="32"/>
        </w:rPr>
        <w:t>（市公安局、市应急管理局牵头）</w:t>
      </w:r>
    </w:p>
    <w:p>
      <w:pPr>
        <w:widowControl/>
        <w:adjustRightInd w:val="0"/>
        <w:snapToGrid w:val="0"/>
        <w:spacing w:line="560" w:lineRule="exact"/>
        <w:ind w:firstLine="642" w:firstLineChars="200"/>
        <w:rPr>
          <w:rFonts w:eastAsia="仿宋_GB2312" w:cs="Times New Roman"/>
          <w:sz w:val="32"/>
          <w:szCs w:val="32"/>
          <w:lang w:bidi="ar"/>
        </w:rPr>
      </w:pPr>
      <w:r>
        <w:rPr>
          <w:rFonts w:eastAsia="楷体_GB2312" w:cs="Times New Roman"/>
          <w:b/>
          <w:bCs/>
          <w:sz w:val="32"/>
          <w:szCs w:val="32"/>
        </w:rPr>
        <w:t>30</w:t>
      </w:r>
      <w:r>
        <w:rPr>
          <w:rFonts w:eastAsia="仿宋_GB2312" w:cs="Times New Roman"/>
          <w:b/>
          <w:bCs/>
          <w:sz w:val="32"/>
          <w:szCs w:val="32"/>
        </w:rPr>
        <w:t>.加快推进餐饮油烟治理。</w:t>
      </w:r>
      <w:r>
        <w:rPr>
          <w:rFonts w:eastAsia="仿宋_GB2312" w:cs="Times New Roman"/>
          <w:sz w:val="32"/>
          <w:szCs w:val="32"/>
          <w:lang w:bidi="ar"/>
        </w:rPr>
        <w:t>强化城市餐饮油烟治理，开展专项执法行动，对露天烧烤、未安装油烟净化器、油烟净化器未正常使用的餐饮企业依法处理。</w:t>
      </w:r>
      <w:r>
        <w:rPr>
          <w:rFonts w:eastAsia="楷体_GB2312" w:cs="Times New Roman"/>
          <w:sz w:val="32"/>
          <w:szCs w:val="32"/>
          <w:lang w:bidi="ar"/>
        </w:rPr>
        <w:t>（市城市管理局牵头）</w:t>
      </w:r>
    </w:p>
    <w:p>
      <w:pPr>
        <w:widowControl/>
        <w:adjustRightInd w:val="0"/>
        <w:snapToGrid w:val="0"/>
        <w:spacing w:line="560" w:lineRule="exact"/>
        <w:ind w:firstLine="642" w:firstLineChars="200"/>
        <w:rPr>
          <w:rFonts w:eastAsia="楷体_GB2312" w:cs="Times New Roman"/>
          <w:sz w:val="32"/>
          <w:szCs w:val="32"/>
        </w:rPr>
      </w:pPr>
      <w:r>
        <w:rPr>
          <w:rFonts w:eastAsia="仿宋_GB2312" w:cs="Times New Roman"/>
          <w:b/>
          <w:bCs/>
          <w:sz w:val="32"/>
          <w:szCs w:val="32"/>
        </w:rPr>
        <w:t>31.强化秸秆、荒草、垃圾露天焚烧监管。</w:t>
      </w:r>
      <w:r>
        <w:rPr>
          <w:rFonts w:eastAsia="仿宋_GB2312" w:cs="Times New Roman"/>
          <w:sz w:val="32"/>
          <w:szCs w:val="32"/>
        </w:rPr>
        <w:t>夯实区县、镇街属地责任，对露天焚烧进行常态化监管，特别是秋冬季和春种时节，全面禁止露天焚烧各类农作物秸秆。对区县出现2个以上火点、镇（办）1个以上火点的，逐级通报批评，约谈相关政府负责人，从严追究相关人员责任。积极创新农作物秸秆禁烧监管方式方法，建立秸秆禁烧智能化监控系统，对火情进行实时监测。开展机防+人防相结合的方式，做到</w:t>
      </w:r>
      <w:r>
        <w:rPr>
          <w:rFonts w:hint="eastAsia" w:eastAsia="仿宋_GB2312" w:cs="Times New Roman"/>
          <w:sz w:val="32"/>
          <w:szCs w:val="32"/>
        </w:rPr>
        <w:t>“</w:t>
      </w:r>
      <w:r>
        <w:rPr>
          <w:rFonts w:eastAsia="仿宋_GB2312" w:cs="Times New Roman"/>
          <w:sz w:val="32"/>
          <w:szCs w:val="32"/>
        </w:rPr>
        <w:t>第一时间发现火点、第一时间响应、第一时间处置</w:t>
      </w:r>
      <w:r>
        <w:rPr>
          <w:rFonts w:hint="eastAsia" w:eastAsia="仿宋_GB2312" w:cs="Times New Roman"/>
          <w:sz w:val="32"/>
          <w:szCs w:val="32"/>
        </w:rPr>
        <w:t>”</w:t>
      </w:r>
      <w:r>
        <w:rPr>
          <w:rFonts w:eastAsia="仿宋_GB2312" w:cs="Times New Roman"/>
          <w:sz w:val="32"/>
          <w:szCs w:val="32"/>
        </w:rPr>
        <w:t>。</w:t>
      </w:r>
      <w:r>
        <w:rPr>
          <w:rFonts w:eastAsia="楷体_GB2312" w:cs="Times New Roman"/>
          <w:sz w:val="32"/>
          <w:szCs w:val="32"/>
        </w:rPr>
        <w:t>（市农业农村局、市生态环境局牵头）</w:t>
      </w:r>
      <w:r>
        <w:rPr>
          <w:rFonts w:eastAsia="仿宋_GB2312" w:cs="Times New Roman"/>
          <w:sz w:val="32"/>
          <w:szCs w:val="32"/>
        </w:rPr>
        <w:t>充分利用无人机、卫星火点等技术手段对重点区域进行巡查和监管，对城市荒草、垃圾露天焚烧单位和个人依法严肃处理。</w:t>
      </w:r>
      <w:r>
        <w:rPr>
          <w:rFonts w:eastAsia="楷体_GB2312" w:cs="Times New Roman"/>
          <w:sz w:val="32"/>
          <w:szCs w:val="32"/>
        </w:rPr>
        <w:t>（市农业农村局、市城市管理局、市生态环境局牵头）</w:t>
      </w:r>
    </w:p>
    <w:p>
      <w:pPr>
        <w:widowControl/>
        <w:adjustRightInd w:val="0"/>
        <w:snapToGrid w:val="0"/>
        <w:spacing w:line="560" w:lineRule="exact"/>
        <w:ind w:firstLine="642" w:firstLineChars="200"/>
        <w:rPr>
          <w:rFonts w:eastAsia="楷体_GB2312" w:cs="Times New Roman"/>
          <w:sz w:val="32"/>
          <w:szCs w:val="32"/>
        </w:rPr>
      </w:pPr>
      <w:r>
        <w:rPr>
          <w:rFonts w:eastAsia="仿宋_GB2312" w:cs="Times New Roman"/>
          <w:b/>
          <w:bCs/>
          <w:sz w:val="32"/>
          <w:szCs w:val="32"/>
        </w:rPr>
        <w:t>32.加强秸秆综合利用。</w:t>
      </w:r>
      <w:r>
        <w:rPr>
          <w:rFonts w:eastAsia="仿宋_GB2312" w:cs="Times New Roman"/>
          <w:sz w:val="32"/>
          <w:szCs w:val="32"/>
        </w:rPr>
        <w:t>按照农作物秸秆肥料化、饲料化、燃料化、基料化、原料化转化利用方式，积极开拓农作物秸秆多元化利用途径，主要农作物秸秆转化利用率稳定在93%以上，巩固和深化秸秆粉碎还田、覆盖还田，还田利用率达到70%以上。</w:t>
      </w:r>
      <w:r>
        <w:rPr>
          <w:rFonts w:eastAsia="楷体_GB2312" w:cs="Times New Roman"/>
          <w:sz w:val="32"/>
          <w:szCs w:val="32"/>
        </w:rPr>
        <w:t>（市农业农村局牵头）</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（八）控制农业源氨排放</w:t>
      </w:r>
    </w:p>
    <w:p>
      <w:pPr>
        <w:widowControl/>
        <w:adjustRightInd w:val="0"/>
        <w:snapToGrid w:val="0"/>
        <w:spacing w:line="560" w:lineRule="exact"/>
        <w:ind w:firstLine="642" w:firstLineChars="200"/>
        <w:rPr>
          <w:rFonts w:eastAsia="楷体_GB2312" w:cs="Times New Roman"/>
          <w:sz w:val="32"/>
          <w:szCs w:val="32"/>
        </w:rPr>
      </w:pPr>
      <w:r>
        <w:rPr>
          <w:rFonts w:eastAsia="仿宋_GB2312" w:cs="Times New Roman"/>
          <w:b/>
          <w:bCs/>
          <w:sz w:val="32"/>
          <w:szCs w:val="32"/>
        </w:rPr>
        <w:t>33.</w:t>
      </w:r>
      <w:r>
        <w:rPr>
          <w:rFonts w:eastAsia="仿宋_GB2312" w:cs="Times New Roman"/>
          <w:b/>
          <w:bCs/>
          <w:sz w:val="32"/>
          <w:szCs w:val="32"/>
          <w:lang w:bidi="ar"/>
        </w:rPr>
        <w:t>推进种植业肥药减量增效</w:t>
      </w:r>
      <w:r>
        <w:rPr>
          <w:rFonts w:eastAsia="仿宋_GB2312" w:cs="Times New Roman"/>
          <w:b/>
          <w:bCs/>
          <w:sz w:val="32"/>
          <w:szCs w:val="32"/>
        </w:rPr>
        <w:t>。</w:t>
      </w:r>
      <w:r>
        <w:rPr>
          <w:rFonts w:eastAsia="仿宋_GB2312" w:cs="Times New Roman"/>
          <w:sz w:val="32"/>
          <w:szCs w:val="32"/>
        </w:rPr>
        <w:t>积极推广使用配方肥、水溶性肥、有机肥和缓控释肥等新型肥料，减少农田化肥的使用量，实现化肥农药使用量负增长。改进农业施肥方式，因地制宜推广化肥机械深耕、机械追肥、种肥同播、水肥一体等技术，提高化肥利用率，减少施肥过程导致的大气氨排放。</w:t>
      </w:r>
      <w:r>
        <w:rPr>
          <w:rFonts w:eastAsia="楷体_GB2312" w:cs="Times New Roman"/>
          <w:sz w:val="32"/>
          <w:szCs w:val="32"/>
        </w:rPr>
        <w:t>（市农业农村局牵头）</w:t>
      </w:r>
    </w:p>
    <w:p>
      <w:pPr>
        <w:widowControl/>
        <w:adjustRightInd w:val="0"/>
        <w:snapToGrid w:val="0"/>
        <w:spacing w:line="560" w:lineRule="exact"/>
        <w:ind w:firstLine="642" w:firstLineChars="200"/>
        <w:rPr>
          <w:rFonts w:eastAsia="仿宋_GB2312" w:cs="Times New Roman"/>
          <w:sz w:val="32"/>
          <w:szCs w:val="32"/>
        </w:rPr>
      </w:pPr>
      <w:r>
        <w:rPr>
          <w:rFonts w:eastAsia="仿宋_GB2312" w:cs="Times New Roman"/>
          <w:b/>
          <w:bCs/>
          <w:sz w:val="32"/>
          <w:szCs w:val="32"/>
        </w:rPr>
        <w:t>34.控制畜禽养殖氨排放。</w:t>
      </w:r>
      <w:r>
        <w:rPr>
          <w:rFonts w:eastAsia="仿宋_GB2312" w:cs="Times New Roman"/>
          <w:sz w:val="32"/>
          <w:szCs w:val="32"/>
        </w:rPr>
        <w:t>加快推进畜禽养殖废弃物资源化利用。坚持</w:t>
      </w:r>
      <w:r>
        <w:rPr>
          <w:rFonts w:hint="eastAsia" w:eastAsia="仿宋_GB2312" w:cs="Times New Roman"/>
          <w:sz w:val="32"/>
          <w:szCs w:val="32"/>
        </w:rPr>
        <w:t>“</w:t>
      </w:r>
      <w:r>
        <w:rPr>
          <w:rFonts w:eastAsia="仿宋_GB2312" w:cs="Times New Roman"/>
          <w:sz w:val="32"/>
          <w:szCs w:val="32"/>
        </w:rPr>
        <w:t>源头减量</w:t>
      </w:r>
      <w:r>
        <w:rPr>
          <w:rFonts w:hint="eastAsia" w:eastAsia="仿宋_GB2312" w:cs="Times New Roman"/>
          <w:sz w:val="32"/>
          <w:szCs w:val="32"/>
          <w:lang w:eastAsia="zh-CN"/>
        </w:rPr>
        <w:t>—</w:t>
      </w:r>
      <w:r>
        <w:rPr>
          <w:rFonts w:eastAsia="仿宋_GB2312" w:cs="Times New Roman"/>
          <w:sz w:val="32"/>
          <w:szCs w:val="32"/>
        </w:rPr>
        <w:t>过程控制</w:t>
      </w:r>
      <w:r>
        <w:rPr>
          <w:rFonts w:hint="eastAsia" w:eastAsia="仿宋_GB2312" w:cs="Times New Roman"/>
          <w:sz w:val="32"/>
          <w:szCs w:val="32"/>
          <w:lang w:eastAsia="zh-CN"/>
        </w:rPr>
        <w:t>—</w:t>
      </w:r>
      <w:r>
        <w:rPr>
          <w:rFonts w:eastAsia="仿宋_GB2312" w:cs="Times New Roman"/>
          <w:sz w:val="32"/>
          <w:szCs w:val="32"/>
        </w:rPr>
        <w:t>末端利用</w:t>
      </w:r>
      <w:r>
        <w:rPr>
          <w:rFonts w:hint="eastAsia" w:eastAsia="仿宋_GB2312" w:cs="Times New Roman"/>
          <w:sz w:val="32"/>
          <w:szCs w:val="32"/>
        </w:rPr>
        <w:t>”</w:t>
      </w:r>
      <w:r>
        <w:rPr>
          <w:rFonts w:eastAsia="仿宋_GB2312" w:cs="Times New Roman"/>
          <w:sz w:val="32"/>
          <w:szCs w:val="32"/>
        </w:rPr>
        <w:t>的原则，以畜禽规模养殖场为重点，强化规模化畜禽养殖场粪污处理设施配建，加快构建种养结合、农牧循环的可持续发展新格局。强化畜禽养殖的封闭管理，推行畜禽养殖场</w:t>
      </w:r>
      <w:r>
        <w:rPr>
          <w:rFonts w:hint="eastAsia" w:eastAsia="仿宋_GB2312" w:cs="Times New Roman"/>
          <w:sz w:val="32"/>
          <w:szCs w:val="32"/>
          <w:lang w:val="zh-CN" w:bidi="zh-CN"/>
        </w:rPr>
        <w:t>“</w:t>
      </w:r>
      <w:r>
        <w:rPr>
          <w:rFonts w:eastAsia="仿宋_GB2312" w:cs="Times New Roman"/>
          <w:sz w:val="32"/>
          <w:szCs w:val="32"/>
          <w:lang w:val="zh-CN" w:bidi="zh-CN"/>
        </w:rPr>
        <w:t>两</w:t>
      </w:r>
      <w:r>
        <w:rPr>
          <w:rFonts w:eastAsia="仿宋_GB2312" w:cs="Times New Roman"/>
          <w:sz w:val="32"/>
          <w:szCs w:val="32"/>
        </w:rPr>
        <w:t>分离、三配套</w:t>
      </w:r>
      <w:r>
        <w:rPr>
          <w:rFonts w:hint="eastAsia" w:eastAsia="仿宋_GB2312" w:cs="Times New Roman"/>
          <w:sz w:val="32"/>
          <w:szCs w:val="32"/>
        </w:rPr>
        <w:t>”</w:t>
      </w:r>
      <w:r>
        <w:rPr>
          <w:rFonts w:eastAsia="仿宋_GB2312" w:cs="Times New Roman"/>
          <w:sz w:val="32"/>
          <w:szCs w:val="32"/>
        </w:rPr>
        <w:t>等养殖工艺，进一步健全完善规模养殖场粪污处理使用记录档案。开展</w:t>
      </w:r>
      <w:r>
        <w:rPr>
          <w:rFonts w:hint="eastAsia" w:eastAsia="仿宋_GB2312" w:cs="Times New Roman"/>
          <w:sz w:val="32"/>
          <w:szCs w:val="32"/>
        </w:rPr>
        <w:t>“</w:t>
      </w:r>
      <w:r>
        <w:rPr>
          <w:rFonts w:eastAsia="仿宋_GB2312" w:cs="Times New Roman"/>
          <w:sz w:val="32"/>
          <w:szCs w:val="32"/>
        </w:rPr>
        <w:t>种养一体</w:t>
      </w:r>
      <w:r>
        <w:rPr>
          <w:rFonts w:hint="eastAsia" w:eastAsia="仿宋_GB2312" w:cs="Times New Roman"/>
          <w:sz w:val="32"/>
          <w:szCs w:val="32"/>
        </w:rPr>
        <w:t>”</w:t>
      </w:r>
      <w:r>
        <w:rPr>
          <w:rFonts w:eastAsia="仿宋_GB2312" w:cs="Times New Roman"/>
          <w:sz w:val="32"/>
          <w:szCs w:val="32"/>
        </w:rPr>
        <w:t>试点，实现养殖业废弃物就地处理利用，促进农业生产和畜禽养殖废物利用良性循环。</w:t>
      </w:r>
      <w:r>
        <w:rPr>
          <w:rFonts w:eastAsia="楷体_GB2312" w:cs="Times New Roman"/>
          <w:sz w:val="32"/>
          <w:szCs w:val="32"/>
        </w:rPr>
        <w:t>（市农业农村局牵头）</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（九）提升科技治污水平</w:t>
      </w:r>
    </w:p>
    <w:p>
      <w:pPr>
        <w:widowControl/>
        <w:adjustRightInd w:val="0"/>
        <w:snapToGrid w:val="0"/>
        <w:spacing w:line="560" w:lineRule="exact"/>
        <w:ind w:firstLine="642" w:firstLineChars="200"/>
        <w:rPr>
          <w:rFonts w:eastAsia="仿宋_GB2312" w:cs="Times New Roman"/>
          <w:b/>
          <w:bCs/>
          <w:sz w:val="32"/>
          <w:szCs w:val="32"/>
        </w:rPr>
      </w:pPr>
      <w:r>
        <w:rPr>
          <w:rFonts w:eastAsia="仿宋_GB2312" w:cs="Times New Roman"/>
          <w:b/>
          <w:bCs/>
          <w:sz w:val="32"/>
          <w:szCs w:val="32"/>
        </w:rPr>
        <w:t>35.加强污染源监管能力。</w:t>
      </w:r>
      <w:r>
        <w:rPr>
          <w:rFonts w:eastAsia="仿宋_GB2312" w:cs="Times New Roman"/>
          <w:sz w:val="32"/>
          <w:szCs w:val="32"/>
        </w:rPr>
        <w:t>充分利用六参数走航、颗粒物激光雷达、VOCs走航、道路积尘负荷走航等技术手段，对重点区域进行污染源走航监测，实现污染源精准管控。2021年12月底前，增设环境空气质量自动监测站点5个，购买环境监测无人机4架，建成环境空气VOCs监测站点5个；完成9家企业主要排污口13套非甲烷总烃自动监控设施安装工作；</w:t>
      </w:r>
      <w:r>
        <w:rPr>
          <w:rFonts w:eastAsia="仿宋_GB2312" w:cs="Times New Roman"/>
          <w:color w:val="0C0C0C"/>
          <w:sz w:val="32"/>
          <w:szCs w:val="32"/>
        </w:rPr>
        <w:t>东岳氟硅产业园、马桥化工产业园等2个石化、化工类工业园区，建设监测预警监控体系，开展溯源分析；高青县化工产业园、经开区等2个工业园区推行泄漏检测统一监管，加大VOCs走航力度，开展溯源分析；</w:t>
      </w:r>
      <w:r>
        <w:rPr>
          <w:rFonts w:eastAsia="仿宋_GB2312" w:cs="Times New Roman"/>
          <w:sz w:val="32"/>
          <w:szCs w:val="32"/>
        </w:rPr>
        <w:t>四宝山南坡企业集中区实施恶臭电子鼻监控预警，安装恶臭电子鼻系统15套。</w:t>
      </w:r>
      <w:r>
        <w:rPr>
          <w:rFonts w:eastAsia="楷体_GB2312" w:cs="Times New Roman"/>
          <w:sz w:val="32"/>
          <w:szCs w:val="32"/>
        </w:rPr>
        <w:t>（市生态环境局牵头）</w:t>
      </w:r>
    </w:p>
    <w:p>
      <w:pPr>
        <w:adjustRightInd w:val="0"/>
        <w:snapToGrid w:val="0"/>
        <w:spacing w:line="560" w:lineRule="exact"/>
        <w:ind w:firstLine="642" w:firstLineChars="200"/>
        <w:rPr>
          <w:rFonts w:eastAsia="楷体_GB2312" w:cs="Times New Roman"/>
          <w:sz w:val="32"/>
          <w:szCs w:val="32"/>
        </w:rPr>
      </w:pPr>
      <w:r>
        <w:rPr>
          <w:rFonts w:eastAsia="仿宋_GB2312" w:cs="Times New Roman"/>
          <w:b/>
          <w:bCs/>
          <w:sz w:val="32"/>
          <w:szCs w:val="32"/>
        </w:rPr>
        <w:t>36.开展PM</w:t>
      </w:r>
      <w:r>
        <w:rPr>
          <w:rFonts w:eastAsia="仿宋_GB2312" w:cs="Times New Roman"/>
          <w:b/>
          <w:bCs/>
          <w:sz w:val="32"/>
          <w:szCs w:val="32"/>
          <w:vertAlign w:val="subscript"/>
        </w:rPr>
        <w:t>2.5</w:t>
      </w:r>
      <w:r>
        <w:rPr>
          <w:rFonts w:eastAsia="仿宋_GB2312" w:cs="Times New Roman"/>
          <w:b/>
          <w:bCs/>
          <w:sz w:val="32"/>
          <w:szCs w:val="32"/>
        </w:rPr>
        <w:t>和O</w:t>
      </w:r>
      <w:r>
        <w:rPr>
          <w:rFonts w:eastAsia="仿宋_GB2312" w:cs="Times New Roman"/>
          <w:b/>
          <w:bCs/>
          <w:sz w:val="32"/>
          <w:szCs w:val="32"/>
          <w:vertAlign w:val="subscript"/>
        </w:rPr>
        <w:t>3</w:t>
      </w:r>
      <w:r>
        <w:rPr>
          <w:rFonts w:eastAsia="仿宋_GB2312" w:cs="Times New Roman"/>
          <w:b/>
          <w:bCs/>
          <w:sz w:val="32"/>
          <w:szCs w:val="32"/>
        </w:rPr>
        <w:t>污染协同防控跟踪研究。</w:t>
      </w:r>
      <w:r>
        <w:rPr>
          <w:rFonts w:eastAsia="仿宋_GB2312" w:cs="Times New Roman"/>
          <w:sz w:val="32"/>
          <w:szCs w:val="32"/>
        </w:rPr>
        <w:t>持续开展PM</w:t>
      </w:r>
      <w:r>
        <w:rPr>
          <w:rFonts w:eastAsia="仿宋_GB2312" w:cs="Times New Roman"/>
          <w:sz w:val="32"/>
          <w:szCs w:val="32"/>
          <w:vertAlign w:val="subscript"/>
        </w:rPr>
        <w:t>2.5</w:t>
      </w:r>
      <w:r>
        <w:rPr>
          <w:rFonts w:eastAsia="仿宋_GB2312" w:cs="Times New Roman"/>
          <w:sz w:val="32"/>
          <w:szCs w:val="32"/>
        </w:rPr>
        <w:t>和O</w:t>
      </w:r>
      <w:r>
        <w:rPr>
          <w:rFonts w:eastAsia="仿宋_GB2312" w:cs="Times New Roman"/>
          <w:sz w:val="32"/>
          <w:szCs w:val="32"/>
          <w:vertAlign w:val="subscript"/>
        </w:rPr>
        <w:t>3</w:t>
      </w:r>
      <w:r>
        <w:rPr>
          <w:rFonts w:eastAsia="仿宋_GB2312" w:cs="Times New Roman"/>
          <w:sz w:val="32"/>
          <w:szCs w:val="32"/>
        </w:rPr>
        <w:t>来源解析，开展重污染天气PM</w:t>
      </w:r>
      <w:r>
        <w:rPr>
          <w:rFonts w:eastAsia="仿宋_GB2312" w:cs="Times New Roman"/>
          <w:sz w:val="32"/>
          <w:szCs w:val="32"/>
          <w:vertAlign w:val="subscript"/>
        </w:rPr>
        <w:t>2.5</w:t>
      </w:r>
      <w:r>
        <w:rPr>
          <w:rFonts w:eastAsia="仿宋_GB2312" w:cs="Times New Roman"/>
          <w:sz w:val="32"/>
          <w:szCs w:val="32"/>
        </w:rPr>
        <w:t>和O</w:t>
      </w:r>
      <w:r>
        <w:rPr>
          <w:rFonts w:eastAsia="仿宋_GB2312" w:cs="Times New Roman"/>
          <w:sz w:val="32"/>
          <w:szCs w:val="32"/>
          <w:vertAlign w:val="subscript"/>
        </w:rPr>
        <w:t>3</w:t>
      </w:r>
      <w:r>
        <w:rPr>
          <w:rFonts w:eastAsia="仿宋_GB2312" w:cs="Times New Roman"/>
          <w:sz w:val="32"/>
          <w:szCs w:val="32"/>
        </w:rPr>
        <w:t>的空间分布规律、影响范围、变化趋势和诱发因素研究，阐明PM</w:t>
      </w:r>
      <w:r>
        <w:rPr>
          <w:rFonts w:eastAsia="仿宋_GB2312" w:cs="Times New Roman"/>
          <w:sz w:val="32"/>
          <w:szCs w:val="32"/>
          <w:vertAlign w:val="subscript"/>
        </w:rPr>
        <w:t>2.5</w:t>
      </w:r>
      <w:r>
        <w:rPr>
          <w:rFonts w:eastAsia="仿宋_GB2312" w:cs="Times New Roman"/>
          <w:sz w:val="32"/>
          <w:szCs w:val="32"/>
        </w:rPr>
        <w:t>和O</w:t>
      </w:r>
      <w:r>
        <w:rPr>
          <w:rFonts w:eastAsia="仿宋_GB2312" w:cs="Times New Roman"/>
          <w:sz w:val="32"/>
          <w:szCs w:val="32"/>
          <w:vertAlign w:val="subscript"/>
        </w:rPr>
        <w:t>3</w:t>
      </w:r>
      <w:r>
        <w:rPr>
          <w:rFonts w:eastAsia="仿宋_GB2312" w:cs="Times New Roman"/>
          <w:sz w:val="32"/>
          <w:szCs w:val="32"/>
        </w:rPr>
        <w:t>污染机理，为进一步精细化</w:t>
      </w:r>
      <w:r>
        <w:rPr>
          <w:rFonts w:hint="eastAsia" w:eastAsia="仿宋_GB2312" w:cs="Times New Roman"/>
          <w:sz w:val="32"/>
          <w:szCs w:val="32"/>
          <w:lang w:val="en-US" w:eastAsia="zh-CN"/>
        </w:rPr>
        <w:t>管控</w:t>
      </w:r>
      <w:r>
        <w:rPr>
          <w:rFonts w:eastAsia="仿宋_GB2312" w:cs="Times New Roman"/>
          <w:sz w:val="32"/>
          <w:szCs w:val="32"/>
        </w:rPr>
        <w:t>PM</w:t>
      </w:r>
      <w:r>
        <w:rPr>
          <w:rFonts w:eastAsia="仿宋_GB2312" w:cs="Times New Roman"/>
          <w:sz w:val="32"/>
          <w:szCs w:val="32"/>
          <w:vertAlign w:val="subscript"/>
        </w:rPr>
        <w:t>2.5</w:t>
      </w:r>
      <w:r>
        <w:rPr>
          <w:rFonts w:eastAsia="仿宋_GB2312" w:cs="Times New Roman"/>
          <w:sz w:val="32"/>
          <w:szCs w:val="32"/>
        </w:rPr>
        <w:t>和O</w:t>
      </w:r>
      <w:r>
        <w:rPr>
          <w:rFonts w:eastAsia="仿宋_GB2312" w:cs="Times New Roman"/>
          <w:sz w:val="32"/>
          <w:szCs w:val="32"/>
          <w:vertAlign w:val="subscript"/>
        </w:rPr>
        <w:t>3</w:t>
      </w:r>
      <w:r>
        <w:rPr>
          <w:rFonts w:eastAsia="仿宋_GB2312" w:cs="Times New Roman"/>
          <w:sz w:val="32"/>
          <w:szCs w:val="32"/>
        </w:rPr>
        <w:t>奠定基础。</w:t>
      </w:r>
      <w:r>
        <w:rPr>
          <w:rFonts w:eastAsia="仿宋_GB2312" w:cs="Times New Roman"/>
          <w:sz w:val="32"/>
          <w:szCs w:val="32"/>
          <w:highlight w:val="none"/>
        </w:rPr>
        <w:t>2021年12月底前，完成2020年大气污染源排放清单编制。</w:t>
      </w:r>
      <w:r>
        <w:rPr>
          <w:rFonts w:eastAsia="楷体_GB2312" w:cs="Times New Roman"/>
          <w:sz w:val="32"/>
          <w:szCs w:val="32"/>
        </w:rPr>
        <w:t>（市生态环境局牵头）</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（十）有效应对重污染天气</w:t>
      </w:r>
    </w:p>
    <w:p>
      <w:pPr>
        <w:adjustRightInd w:val="0"/>
        <w:snapToGrid w:val="0"/>
        <w:spacing w:line="560" w:lineRule="exact"/>
        <w:ind w:firstLine="642" w:firstLineChars="200"/>
        <w:rPr>
          <w:rFonts w:eastAsia="仿宋_GB2312" w:cs="Times New Roman"/>
          <w:color w:val="000000"/>
          <w:sz w:val="32"/>
          <w:szCs w:val="32"/>
        </w:rPr>
      </w:pPr>
      <w:r>
        <w:rPr>
          <w:rFonts w:eastAsia="仿宋_GB2312" w:cs="Times New Roman"/>
          <w:b/>
          <w:bCs/>
          <w:color w:val="000000"/>
          <w:sz w:val="32"/>
          <w:szCs w:val="32"/>
        </w:rPr>
        <w:t>37.严格重点行业企业环保绩效分级管理。</w:t>
      </w:r>
      <w:r>
        <w:rPr>
          <w:rFonts w:eastAsia="仿宋_GB2312" w:cs="Times New Roman"/>
          <w:color w:val="000000"/>
          <w:sz w:val="32"/>
          <w:szCs w:val="32"/>
        </w:rPr>
        <w:t>严格落实生态环境部办公厅《重污染天气重点行业应急减排措施制定技术指南（2021修订版）》规定和山东省生态环境厅《关于做好2021年重污染天气应急重点工作的通知》（鲁环字</w:t>
      </w:r>
      <w:r>
        <w:rPr>
          <w:rFonts w:eastAsia="仿宋_GB2312" w:cs="Times New Roman"/>
          <w:color w:val="0C0C0C"/>
          <w:sz w:val="32"/>
          <w:szCs w:val="24"/>
        </w:rPr>
        <w:t>〔2021〕</w:t>
      </w:r>
      <w:r>
        <w:rPr>
          <w:rFonts w:eastAsia="仿宋_GB2312" w:cs="Times New Roman"/>
          <w:color w:val="000000"/>
          <w:sz w:val="32"/>
          <w:szCs w:val="32"/>
        </w:rPr>
        <w:t>141号）相关要求，对重点行业企业绩效等级进行复核与审查，</w:t>
      </w:r>
      <w:r>
        <w:rPr>
          <w:rFonts w:hint="eastAsia" w:eastAsia="仿宋_GB2312" w:cs="Times New Roman"/>
          <w:sz w:val="32"/>
          <w:szCs w:val="32"/>
          <w:lang w:val="en-US" w:eastAsia="zh-CN"/>
        </w:rPr>
        <w:t>落实差异化管控</w:t>
      </w:r>
      <w:r>
        <w:rPr>
          <w:rFonts w:eastAsia="仿宋_GB2312" w:cs="Times New Roman"/>
          <w:sz w:val="32"/>
          <w:szCs w:val="32"/>
        </w:rPr>
        <w:t>。</w:t>
      </w:r>
    </w:p>
    <w:p>
      <w:pPr>
        <w:adjustRightInd w:val="0"/>
        <w:snapToGrid w:val="0"/>
        <w:spacing w:line="560" w:lineRule="exact"/>
        <w:ind w:firstLine="640" w:firstLineChars="200"/>
        <w:rPr>
          <w:rFonts w:eastAsia="楷体_GB2312" w:cs="Times New Roman"/>
          <w:color w:val="000000"/>
          <w:sz w:val="32"/>
          <w:szCs w:val="32"/>
        </w:rPr>
      </w:pPr>
      <w:r>
        <w:rPr>
          <w:rFonts w:eastAsia="仿宋_GB2312" w:cs="Times New Roman"/>
          <w:color w:val="000000"/>
          <w:sz w:val="32"/>
          <w:szCs w:val="32"/>
        </w:rPr>
        <w:t>对国家未明确实施绩效分级的行业，根据我市环境空气质量改善需求、工业污染特征、行业污染治理水平等具体情况，制定差异化减排措施。其中煤电机组</w:t>
      </w:r>
      <w:r>
        <w:rPr>
          <w:rFonts w:eastAsia="仿宋_GB2312" w:cs="Times New Roman"/>
          <w:sz w:val="32"/>
        </w:rPr>
        <w:t>通过降低生产负荷、改善煤质、提高污染物治理效率等措施，多措并举，实现秋冬季重污染应急期间</w:t>
      </w:r>
      <w:r>
        <w:rPr>
          <w:rFonts w:eastAsia="仿宋_GB2312" w:cs="Times New Roman"/>
          <w:sz w:val="32"/>
          <w:lang w:bidi="ar"/>
        </w:rPr>
        <w:t>每日二氧化硫、氮氧化物排放量之和减排8%。</w:t>
      </w:r>
      <w:r>
        <w:rPr>
          <w:rFonts w:eastAsia="楷体_GB2312" w:cs="Times New Roman"/>
          <w:color w:val="000000"/>
          <w:sz w:val="32"/>
          <w:szCs w:val="32"/>
        </w:rPr>
        <w:t>（市生态环境局牵头）</w:t>
      </w:r>
    </w:p>
    <w:p>
      <w:pPr>
        <w:adjustRightInd w:val="0"/>
        <w:snapToGrid w:val="0"/>
        <w:spacing w:line="560" w:lineRule="exact"/>
        <w:ind w:firstLine="642" w:firstLineChars="200"/>
        <w:rPr>
          <w:rFonts w:eastAsia="仿宋_GB2312" w:cs="Times New Roman"/>
          <w:sz w:val="32"/>
          <w:szCs w:val="32"/>
        </w:rPr>
      </w:pPr>
      <w:r>
        <w:rPr>
          <w:rFonts w:eastAsia="仿宋_GB2312" w:cs="Times New Roman"/>
          <w:b/>
          <w:bCs/>
          <w:color w:val="000000"/>
          <w:sz w:val="32"/>
          <w:szCs w:val="32"/>
        </w:rPr>
        <w:t>38.严格重污染天气应急减排措施修订。</w:t>
      </w:r>
      <w:r>
        <w:rPr>
          <w:rFonts w:eastAsia="仿宋_GB2312" w:cs="Times New Roman"/>
          <w:color w:val="000000"/>
          <w:sz w:val="32"/>
          <w:szCs w:val="32"/>
        </w:rPr>
        <w:t>动态调整应急减排清单，做到涉气企业全覆盖，确保新增涉气污染源全部纳入，剔除</w:t>
      </w:r>
      <w:r>
        <w:rPr>
          <w:rFonts w:hint="eastAsia" w:eastAsia="仿宋_GB2312" w:cs="Times New Roman"/>
          <w:color w:val="000000"/>
          <w:sz w:val="32"/>
          <w:szCs w:val="32"/>
        </w:rPr>
        <w:t>“</w:t>
      </w:r>
      <w:r>
        <w:rPr>
          <w:rFonts w:eastAsia="仿宋_GB2312" w:cs="Times New Roman"/>
          <w:color w:val="000000"/>
          <w:sz w:val="32"/>
          <w:szCs w:val="32"/>
        </w:rPr>
        <w:t>僵尸</w:t>
      </w:r>
      <w:r>
        <w:rPr>
          <w:rFonts w:hint="eastAsia" w:eastAsia="仿宋_GB2312" w:cs="Times New Roman"/>
          <w:color w:val="000000"/>
          <w:sz w:val="32"/>
          <w:szCs w:val="32"/>
        </w:rPr>
        <w:t>”</w:t>
      </w:r>
      <w:r>
        <w:rPr>
          <w:rFonts w:eastAsia="仿宋_GB2312" w:cs="Times New Roman"/>
          <w:color w:val="000000"/>
          <w:sz w:val="32"/>
          <w:szCs w:val="32"/>
        </w:rPr>
        <w:t>污染源。</w:t>
      </w:r>
      <w:r>
        <w:rPr>
          <w:rFonts w:eastAsia="仿宋_GB2312" w:cs="Times New Roman"/>
          <w:sz w:val="32"/>
          <w:szCs w:val="32"/>
        </w:rPr>
        <w:t>科学制定减排措施，确保减排措施可操作、可监测、可核查。对于保障民生、保障城市正常运转或涉及国家战略性产业等工业企业以及国家、省重大工程项目，纳入保障类。对于重点行业的保障类企业，应达到或承诺一年内达到B级及以上绩效分级或引领性指标水平，同时加强监督检查，防止在应急响应期间从事非特定保障任务的生产经营。</w:t>
      </w:r>
      <w:r>
        <w:rPr>
          <w:rFonts w:eastAsia="楷体_GB2312" w:cs="Times New Roman"/>
          <w:color w:val="000000"/>
          <w:sz w:val="32"/>
          <w:szCs w:val="32"/>
        </w:rPr>
        <w:t>（市生态环境局牵头）</w:t>
      </w:r>
    </w:p>
    <w:p>
      <w:pPr>
        <w:widowControl/>
        <w:adjustRightInd w:val="0"/>
        <w:snapToGrid w:val="0"/>
        <w:spacing w:line="560" w:lineRule="exact"/>
        <w:ind w:firstLine="642" w:firstLineChars="200"/>
        <w:rPr>
          <w:rFonts w:eastAsia="楷体_GB2312" w:cs="Times New Roman"/>
          <w:color w:val="000000"/>
          <w:sz w:val="32"/>
          <w:szCs w:val="32"/>
        </w:rPr>
      </w:pPr>
      <w:r>
        <w:rPr>
          <w:rFonts w:eastAsia="仿宋_GB2312" w:cs="Times New Roman"/>
          <w:b/>
          <w:bCs/>
          <w:color w:val="000000"/>
          <w:sz w:val="32"/>
          <w:szCs w:val="32"/>
        </w:rPr>
        <w:t>39.夯实重污染天气应对。</w:t>
      </w:r>
      <w:r>
        <w:rPr>
          <w:rFonts w:eastAsia="仿宋_GB2312" w:cs="Times New Roman"/>
          <w:bCs/>
          <w:color w:val="000000"/>
          <w:sz w:val="32"/>
          <w:szCs w:val="32"/>
        </w:rPr>
        <w:t>强化重污染天气预警预报，加强会商研判，</w:t>
      </w:r>
      <w:r>
        <w:rPr>
          <w:rFonts w:eastAsia="仿宋_GB2312" w:cs="Times New Roman"/>
          <w:color w:val="000000"/>
          <w:sz w:val="32"/>
          <w:szCs w:val="32"/>
        </w:rPr>
        <w:t>按照</w:t>
      </w:r>
      <w:r>
        <w:rPr>
          <w:rFonts w:hint="eastAsia" w:eastAsia="仿宋_GB2312" w:cs="Times New Roman"/>
          <w:color w:val="000000"/>
          <w:sz w:val="32"/>
          <w:szCs w:val="32"/>
          <w:lang w:val="en-US" w:eastAsia="zh-CN"/>
        </w:rPr>
        <w:t>淄博市</w:t>
      </w:r>
      <w:r>
        <w:rPr>
          <w:rFonts w:eastAsia="仿宋_GB2312" w:cs="Times New Roman"/>
          <w:color w:val="000000"/>
          <w:sz w:val="32"/>
          <w:szCs w:val="32"/>
        </w:rPr>
        <w:t>重污染天气应急预案要求，</w:t>
      </w:r>
      <w:r>
        <w:rPr>
          <w:rFonts w:eastAsia="仿宋_GB2312" w:cs="Times New Roman"/>
          <w:bCs/>
          <w:color w:val="000000"/>
          <w:sz w:val="32"/>
          <w:szCs w:val="32"/>
        </w:rPr>
        <w:t>及时发布预警指令，</w:t>
      </w:r>
      <w:r>
        <w:rPr>
          <w:rFonts w:eastAsia="仿宋_GB2312" w:cs="Times New Roman"/>
          <w:color w:val="000000"/>
          <w:sz w:val="32"/>
          <w:szCs w:val="32"/>
        </w:rPr>
        <w:t>启动重污染天气应急，积极采取应急减排措施，</w:t>
      </w:r>
      <w:r>
        <w:rPr>
          <w:rFonts w:eastAsia="仿宋_GB2312" w:cs="Times New Roman"/>
          <w:bCs/>
          <w:color w:val="000000"/>
          <w:sz w:val="32"/>
          <w:szCs w:val="32"/>
        </w:rPr>
        <w:t>做好污染减排和重污染天气应对</w:t>
      </w:r>
      <w:r>
        <w:rPr>
          <w:rFonts w:eastAsia="仿宋_GB2312" w:cs="Times New Roman"/>
          <w:color w:val="000000"/>
          <w:sz w:val="32"/>
          <w:szCs w:val="32"/>
        </w:rPr>
        <w:t>。当预计未来较长时间段内，有可能连续多次出现重污染天气过程，且将频繁启动橙色及以上预警时，指导生产工序不可中断或短时间内难以完全停产的行业企业，及时调整生产计划，确保按要求准时轮停。</w:t>
      </w:r>
      <w:r>
        <w:rPr>
          <w:rFonts w:eastAsia="楷体_GB2312" w:cs="Times New Roman"/>
          <w:color w:val="000000"/>
          <w:sz w:val="32"/>
          <w:szCs w:val="32"/>
        </w:rPr>
        <w:t>（市生态环境局牵头）</w:t>
      </w:r>
    </w:p>
    <w:p>
      <w:pPr>
        <w:adjustRightInd w:val="0"/>
        <w:snapToGrid w:val="0"/>
        <w:spacing w:line="560" w:lineRule="exact"/>
        <w:ind w:firstLine="644"/>
        <w:rPr>
          <w:rFonts w:eastAsia="楷体_GB2312" w:cs="Times New Roman"/>
          <w:color w:val="000000"/>
          <w:sz w:val="32"/>
          <w:szCs w:val="32"/>
        </w:rPr>
      </w:pPr>
      <w:r>
        <w:rPr>
          <w:rFonts w:eastAsia="仿宋_GB2312" w:cs="Times New Roman"/>
          <w:b/>
          <w:bCs/>
          <w:color w:val="000000"/>
          <w:sz w:val="32"/>
          <w:szCs w:val="32"/>
        </w:rPr>
        <w:t>40.加强重污染天气区域联动。</w:t>
      </w:r>
      <w:r>
        <w:rPr>
          <w:rFonts w:eastAsia="仿宋_GB2312" w:cs="Times New Roman"/>
          <w:color w:val="000000"/>
          <w:sz w:val="32"/>
          <w:szCs w:val="32"/>
        </w:rPr>
        <w:t>严格落实区域应急联动快速响应机制，基于生态环境部区域会商结果和省级预警提示信息，当预测出现大范围重污染天气时，实施区域应急联动，及时发布相应级别的预警，启动重污染天气应急，落实工业源、扬尘源、移动源应急减排措施，做到及时响应、有效应对重污染天气，</w:t>
      </w:r>
      <w:r>
        <w:rPr>
          <w:rFonts w:eastAsia="仿宋_GB2312" w:cs="Times New Roman"/>
          <w:sz w:val="32"/>
          <w:szCs w:val="32"/>
        </w:rPr>
        <w:t>进一步降低污染物排放。</w:t>
      </w:r>
      <w:r>
        <w:rPr>
          <w:rFonts w:eastAsia="楷体_GB2312" w:cs="Times New Roman"/>
          <w:color w:val="000000"/>
          <w:sz w:val="32"/>
          <w:szCs w:val="32"/>
        </w:rPr>
        <w:t>（市生态环境局、市气象局牵头）</w:t>
      </w:r>
    </w:p>
    <w:p>
      <w:pPr>
        <w:adjustRightInd w:val="0"/>
        <w:snapToGrid w:val="0"/>
        <w:spacing w:line="560" w:lineRule="exact"/>
        <w:ind w:firstLine="640" w:firstLineChars="200"/>
        <w:outlineLvl w:val="0"/>
        <w:rPr>
          <w:rFonts w:eastAsia="黑体" w:cs="Times New Roman"/>
          <w:color w:val="000000"/>
          <w:sz w:val="32"/>
          <w:szCs w:val="32"/>
        </w:rPr>
      </w:pPr>
      <w:r>
        <w:rPr>
          <w:rFonts w:eastAsia="黑体" w:cs="Times New Roman"/>
          <w:color w:val="000000"/>
          <w:sz w:val="32"/>
          <w:szCs w:val="32"/>
        </w:rPr>
        <w:t>三、保障措施</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（一）加强组织领导</w:t>
      </w:r>
    </w:p>
    <w:p>
      <w:pPr>
        <w:adjustRightInd w:val="0"/>
        <w:snapToGrid w:val="0"/>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各级各部门要切实加强组织领导，把秋冬季大气污染综合治理攻坚行动放在重要位置。全面分析</w:t>
      </w:r>
      <w:r>
        <w:rPr>
          <w:rFonts w:hint="eastAsia" w:eastAsia="仿宋_GB2312" w:cs="Times New Roman"/>
          <w:color w:val="000000"/>
          <w:sz w:val="32"/>
          <w:szCs w:val="32"/>
        </w:rPr>
        <w:t>“</w:t>
      </w:r>
      <w:r>
        <w:rPr>
          <w:rFonts w:eastAsia="仿宋_GB2312" w:cs="Times New Roman"/>
          <w:color w:val="000000"/>
          <w:sz w:val="32"/>
          <w:szCs w:val="32"/>
        </w:rPr>
        <w:t>十四五</w:t>
      </w:r>
      <w:r>
        <w:rPr>
          <w:rFonts w:hint="eastAsia" w:eastAsia="仿宋_GB2312" w:cs="Times New Roman"/>
          <w:color w:val="000000"/>
          <w:sz w:val="32"/>
          <w:szCs w:val="32"/>
        </w:rPr>
        <w:t>”</w:t>
      </w:r>
      <w:r>
        <w:rPr>
          <w:rFonts w:eastAsia="仿宋_GB2312" w:cs="Times New Roman"/>
          <w:color w:val="000000"/>
          <w:sz w:val="32"/>
          <w:szCs w:val="32"/>
        </w:rPr>
        <w:t>期间空气质量严峻形势，树立底线思维，完成目标任务存在风险的要制定针对性措施。请各相关市直部门按照上述40项重点任务分工，牵头推进各项工作任务，指导区县落实要求。各区县党委、政府要全面落实全员环保责任制，建立重点任务完成情况定期调度机制，对本行政区域的大气污染防治工作及环境空气质量负总责，主要负责同志为第一责任人，明确各项任务的时间表和责任人。</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（二）开展环境执法督查</w:t>
      </w:r>
    </w:p>
    <w:p>
      <w:pPr>
        <w:adjustRightInd w:val="0"/>
        <w:snapToGrid w:val="0"/>
        <w:spacing w:line="560" w:lineRule="exact"/>
        <w:ind w:firstLine="640" w:firstLineChars="200"/>
        <w:rPr>
          <w:rFonts w:eastAsia="楷体_GB2312" w:cs="Times New Roman"/>
          <w:color w:val="000000"/>
          <w:sz w:val="32"/>
          <w:szCs w:val="32"/>
        </w:rPr>
      </w:pPr>
      <w:r>
        <w:rPr>
          <w:rFonts w:eastAsia="仿宋_GB2312" w:cs="Times New Roman"/>
          <w:color w:val="000000"/>
          <w:sz w:val="32"/>
          <w:szCs w:val="32"/>
        </w:rPr>
        <w:t>要围绕秋冬季大气污染攻坚主要任务，整合执法、监管、行业专家等力量组建驻厂帮扶组，开展监督帮扶工作。宣传大气污染治理相关法律法规、政策标准，引导企业自觉守法。精准、有效开展环境监督执法，对发现的问题，既要督促有关企业切实履行生态环境保护责任，严格整改要求，确保整改到位，也要注重精细化管理，加强指导帮扶；对违法情节及后果严重、屡查屡犯的，要依法严肃查处，典型案例公开曝光。各级各部门要结合重点任务，组织开展专项执法，在</w:t>
      </w:r>
      <w:r>
        <w:rPr>
          <w:rFonts w:hint="eastAsia" w:eastAsia="仿宋_GB2312" w:cs="Times New Roman"/>
          <w:color w:val="000000"/>
          <w:sz w:val="32"/>
          <w:szCs w:val="32"/>
        </w:rPr>
        <w:t>“</w:t>
      </w:r>
      <w:r>
        <w:rPr>
          <w:rFonts w:eastAsia="仿宋_GB2312" w:cs="Times New Roman"/>
          <w:color w:val="000000"/>
          <w:sz w:val="32"/>
          <w:szCs w:val="32"/>
        </w:rPr>
        <w:t>散乱污</w:t>
      </w:r>
      <w:r>
        <w:rPr>
          <w:rFonts w:hint="eastAsia" w:eastAsia="仿宋_GB2312" w:cs="Times New Roman"/>
          <w:color w:val="000000"/>
          <w:sz w:val="32"/>
          <w:szCs w:val="32"/>
        </w:rPr>
        <w:t>”</w:t>
      </w:r>
      <w:r>
        <w:rPr>
          <w:rFonts w:eastAsia="仿宋_GB2312" w:cs="Times New Roman"/>
          <w:color w:val="000000"/>
          <w:sz w:val="32"/>
          <w:szCs w:val="32"/>
        </w:rPr>
        <w:t>企业整治、油品质量监管、涉VOCs产品质量监管、柴油车尾气排放抽查、扬尘管控等领域实施多部门联合执法，建立信息共享机制，形成执法合力。加强重污染天气应急响应期间执法监督力度，加密应急响应期间执法检查频次，督促企业落实重污染应急减排责任。</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（三）加大资金投入力度</w:t>
      </w:r>
    </w:p>
    <w:p>
      <w:pPr>
        <w:adjustRightInd w:val="0"/>
        <w:snapToGrid w:val="0"/>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加大价格政策支持力度，2021—2022年采暖期天然气门站价格不上浮。落实好《关于北方地区清洁供暖价格政策的意见》，完善峰谷分时价格制度，完善采暖用电销售侧峰谷电价，在平均水平不变的情况下，进一步扩大采暖期谷段用电电价下浮比例。加大财政政策支持力度。控制支出成本，多渠道募集资金支持清洁取暖，清洁取暖补贴要因地制宜，重点向农村低收入人群倾斜，不搞</w:t>
      </w:r>
      <w:r>
        <w:rPr>
          <w:rFonts w:hint="eastAsia" w:eastAsia="仿宋_GB2312" w:cs="Times New Roman"/>
          <w:color w:val="000000"/>
          <w:sz w:val="32"/>
          <w:szCs w:val="32"/>
        </w:rPr>
        <w:t>“</w:t>
      </w:r>
      <w:r>
        <w:rPr>
          <w:rFonts w:eastAsia="仿宋_GB2312" w:cs="Times New Roman"/>
          <w:color w:val="000000"/>
          <w:sz w:val="32"/>
          <w:szCs w:val="32"/>
        </w:rPr>
        <w:t>一刀切</w:t>
      </w:r>
      <w:r>
        <w:rPr>
          <w:rFonts w:hint="eastAsia" w:eastAsia="仿宋_GB2312" w:cs="Times New Roman"/>
          <w:color w:val="000000"/>
          <w:sz w:val="32"/>
          <w:szCs w:val="32"/>
        </w:rPr>
        <w:t>”</w:t>
      </w:r>
      <w:r>
        <w:rPr>
          <w:rFonts w:eastAsia="仿宋_GB2312" w:cs="Times New Roman"/>
          <w:color w:val="000000"/>
          <w:sz w:val="32"/>
          <w:szCs w:val="32"/>
        </w:rPr>
        <w:t>。加大信贷融资支持力度。支持符合条件的企业通过债券市场进行直接融资，募集资金用于大气污染治理等。鼓励金融机构加大对铁路和多式联运企业金融服务的支持力度，积极引导社会资本以多种形式参与投资建设铁路专用线。</w:t>
      </w:r>
    </w:p>
    <w:p>
      <w:pPr>
        <w:adjustRightInd w:val="0"/>
        <w:snapToGrid w:val="0"/>
        <w:spacing w:line="560" w:lineRule="exact"/>
        <w:ind w:firstLine="640" w:firstLineChars="200"/>
        <w:outlineLvl w:val="0"/>
        <w:rPr>
          <w:rFonts w:eastAsia="楷体_GB2312" w:cs="Times New Roman"/>
          <w:color w:val="000000"/>
          <w:sz w:val="32"/>
          <w:szCs w:val="32"/>
        </w:rPr>
      </w:pPr>
      <w:r>
        <w:rPr>
          <w:rFonts w:eastAsia="楷体_GB2312" w:cs="Times New Roman"/>
          <w:color w:val="000000"/>
          <w:sz w:val="32"/>
          <w:szCs w:val="32"/>
        </w:rPr>
        <w:t>（四）实施严格考核问责</w:t>
      </w:r>
    </w:p>
    <w:p>
      <w:pPr>
        <w:adjustRightInd w:val="0"/>
        <w:snapToGrid w:val="0"/>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秋冬季期间，每月通报各区县空气质量改善情况和降尘量监测结果；对空气质量改善幅度达不到目标任务或空气质量指数（AQI）达到轻度污染及以上的区县，及时下发预警通知；对未能完成终期空气质量改善目标任务或重点任务进展缓慢的区县，公开约谈政府主要负责人。对于重点攻坚任务完成不到位或环境质量改善不到位的，实施量化问责。</w:t>
      </w:r>
    </w:p>
    <w:p>
      <w:pPr>
        <w:adjustRightInd w:val="0"/>
        <w:snapToGrid w:val="0"/>
        <w:spacing w:line="56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本方案实施后，新制定的山东省秋冬季大气污染综合治理攻坚方案中相关要求严于本方案的，按相应要求执行。</w:t>
      </w:r>
    </w:p>
    <w:p>
      <w:pPr>
        <w:adjustRightInd w:val="0"/>
        <w:snapToGrid w:val="0"/>
        <w:spacing w:line="560" w:lineRule="exact"/>
        <w:ind w:firstLine="640" w:firstLineChars="200"/>
        <w:rPr>
          <w:rFonts w:eastAsia="仿宋_GB2312" w:cs="Times New Roman"/>
          <w:color w:val="000000"/>
          <w:sz w:val="32"/>
          <w:szCs w:val="32"/>
        </w:rPr>
      </w:pPr>
      <w:r>
        <w:rPr>
          <w:rFonts w:eastAsia="仿宋_GB2312" w:cs="Times New Roman"/>
          <w:color w:val="000000"/>
          <w:sz w:val="32"/>
          <w:szCs w:val="32"/>
        </w:rPr>
        <w:t>请各区县、各相关部门分别于2021年12月2</w:t>
      </w:r>
      <w:r>
        <w:rPr>
          <w:rFonts w:hint="eastAsia" w:eastAsia="仿宋_GB2312" w:cs="Times New Roman"/>
          <w:color w:val="000000"/>
          <w:sz w:val="32"/>
          <w:szCs w:val="32"/>
        </w:rPr>
        <w:t>0</w:t>
      </w:r>
      <w:r>
        <w:rPr>
          <w:rFonts w:eastAsia="仿宋_GB2312" w:cs="Times New Roman"/>
          <w:color w:val="000000"/>
          <w:sz w:val="32"/>
          <w:szCs w:val="32"/>
        </w:rPr>
        <w:t>日</w:t>
      </w:r>
      <w:r>
        <w:rPr>
          <w:rFonts w:hint="eastAsia" w:eastAsia="仿宋_GB2312" w:cs="Times New Roman"/>
          <w:color w:val="000000"/>
          <w:sz w:val="32"/>
          <w:szCs w:val="32"/>
        </w:rPr>
        <w:t>、</w:t>
      </w:r>
      <w:r>
        <w:rPr>
          <w:rFonts w:eastAsia="仿宋_GB2312" w:cs="Times New Roman"/>
          <w:color w:val="000000"/>
          <w:sz w:val="32"/>
          <w:szCs w:val="32"/>
        </w:rPr>
        <w:t>2022年3月2</w:t>
      </w:r>
      <w:r>
        <w:rPr>
          <w:rFonts w:hint="eastAsia" w:eastAsia="仿宋_GB2312" w:cs="Times New Roman"/>
          <w:color w:val="000000"/>
          <w:sz w:val="32"/>
          <w:szCs w:val="32"/>
        </w:rPr>
        <w:t>0</w:t>
      </w:r>
      <w:r>
        <w:rPr>
          <w:rFonts w:eastAsia="仿宋_GB2312" w:cs="Times New Roman"/>
          <w:color w:val="000000"/>
          <w:sz w:val="32"/>
          <w:szCs w:val="32"/>
        </w:rPr>
        <w:t>日前将阶段工作总结报市生态环境委员会办公室。</w:t>
      </w:r>
    </w:p>
    <w:p>
      <w:pPr>
        <w:adjustRightInd w:val="0"/>
        <w:snapToGrid w:val="0"/>
        <w:spacing w:line="56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联系电话：27</w:t>
      </w:r>
      <w:r>
        <w:rPr>
          <w:rFonts w:hint="eastAsia" w:eastAsia="仿宋_GB2312" w:cs="Times New Roman"/>
          <w:color w:val="000000"/>
          <w:sz w:val="32"/>
          <w:szCs w:val="32"/>
          <w:lang w:val="en-US" w:eastAsia="zh-CN"/>
        </w:rPr>
        <w:t>9</w:t>
      </w:r>
      <w:r>
        <w:rPr>
          <w:rFonts w:hint="eastAsia" w:eastAsia="仿宋_GB2312" w:cs="Times New Roman"/>
          <w:color w:val="000000"/>
          <w:sz w:val="32"/>
          <w:szCs w:val="32"/>
        </w:rPr>
        <w:t>0163</w:t>
      </w:r>
    </w:p>
    <w:p>
      <w:pPr>
        <w:adjustRightInd w:val="0"/>
        <w:snapToGrid w:val="0"/>
        <w:spacing w:line="560" w:lineRule="exact"/>
        <w:ind w:firstLine="640" w:firstLineChars="200"/>
      </w:pPr>
      <w:r>
        <w:rPr>
          <w:rFonts w:hint="eastAsia" w:eastAsia="仿宋_GB2312" w:cs="Times New Roman"/>
          <w:color w:val="000000"/>
          <w:sz w:val="32"/>
          <w:szCs w:val="32"/>
        </w:rPr>
        <w:t>联系邮箱：zbshbjdqk@zb.shandong.cn</w:t>
      </w:r>
    </w:p>
    <w:p>
      <w:pPr>
        <w:adjustRightInd w:val="0"/>
        <w:snapToGrid w:val="0"/>
        <w:spacing w:line="56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 xml:space="preserve">    </w:t>
      </w:r>
    </w:p>
    <w:p>
      <w:pPr>
        <w:adjustRightInd w:val="0"/>
        <w:snapToGrid w:val="0"/>
        <w:spacing w:line="560" w:lineRule="exact"/>
        <w:ind w:firstLine="640" w:firstLineChars="200"/>
        <w:rPr>
          <w:rFonts w:eastAsia="仿宋_GB2312" w:cs="Times New Roman"/>
          <w:color w:val="000000"/>
          <w:sz w:val="32"/>
          <w:szCs w:val="32"/>
        </w:rPr>
      </w:pPr>
      <w:r>
        <w:rPr>
          <w:rFonts w:hint="eastAsia" w:eastAsia="仿宋_GB2312" w:cs="Times New Roman"/>
          <w:color w:val="000000"/>
          <w:sz w:val="32"/>
          <w:szCs w:val="32"/>
        </w:rPr>
        <w:t>附件：1.2021-2022年秋冬季各区县空气质量改善目标</w:t>
      </w:r>
    </w:p>
    <w:p>
      <w:pPr>
        <w:adjustRightInd w:val="0"/>
        <w:snapToGrid w:val="0"/>
        <w:spacing w:line="560" w:lineRule="exact"/>
        <w:ind w:left="1895" w:leftChars="761" w:hanging="297" w:hangingChars="93"/>
        <w:rPr>
          <w:rFonts w:eastAsia="仿宋_GB2312" w:cs="Times New Roman"/>
          <w:color w:val="000000"/>
          <w:sz w:val="32"/>
          <w:szCs w:val="32"/>
        </w:rPr>
      </w:pPr>
      <w:r>
        <w:rPr>
          <w:rFonts w:hint="eastAsia" w:eastAsia="仿宋_GB2312" w:cs="Times New Roman"/>
          <w:color w:val="000000"/>
          <w:sz w:val="32"/>
          <w:szCs w:val="32"/>
        </w:rPr>
        <w:t xml:space="preserve">2.2021-2022年秋冬季大气污染综合治理攻坚行动方案措施任务表 </w:t>
      </w:r>
    </w:p>
    <w:p>
      <w:pPr>
        <w:sectPr>
          <w:footerReference r:id="rId3" w:type="default"/>
          <w:pgSz w:w="11906" w:h="16838"/>
          <w:pgMar w:top="1440" w:right="1633" w:bottom="1440" w:left="1633" w:header="851" w:footer="992" w:gutter="0"/>
          <w:pgNumType w:fmt="numberInDash"/>
          <w:cols w:space="720" w:num="1"/>
          <w:docGrid w:type="lines" w:linePitch="312" w:charSpace="0"/>
        </w:sectPr>
      </w:pPr>
      <w:r>
        <w:rPr>
          <w:rFonts w:hint="eastAsia" w:eastAsia="仿宋_GB2312" w:cs="Times New Roman"/>
          <w:color w:val="000000"/>
          <w:sz w:val="32"/>
          <w:szCs w:val="32"/>
        </w:rPr>
        <w:t xml:space="preserve">  </w:t>
      </w:r>
    </w:p>
    <w:p>
      <w:pPr>
        <w:pStyle w:val="4"/>
        <w:adjustRightInd w:val="0"/>
        <w:spacing w:before="0" w:after="0" w:line="240" w:lineRule="auto"/>
        <w:rPr>
          <w:rFonts w:cs="Times New Roman"/>
          <w:color w:val="000000"/>
          <w:sz w:val="32"/>
        </w:rPr>
      </w:pPr>
      <w:r>
        <w:rPr>
          <w:rFonts w:hint="eastAsia" w:cs="Times New Roman"/>
          <w:color w:val="000000"/>
          <w:sz w:val="32"/>
        </w:rPr>
        <w:t>附件1</w:t>
      </w:r>
    </w:p>
    <w:tbl>
      <w:tblPr>
        <w:tblStyle w:val="9"/>
        <w:tblW w:w="13995" w:type="dxa"/>
        <w:tblInd w:w="0" w:type="dxa"/>
        <w:tblLayout w:type="fixed"/>
        <w:tblCellMar>
          <w:top w:w="0" w:type="dxa"/>
          <w:left w:w="0" w:type="dxa"/>
          <w:bottom w:w="0" w:type="dxa"/>
          <w:right w:w="0" w:type="dxa"/>
        </w:tblCellMar>
      </w:tblPr>
      <w:tblGrid>
        <w:gridCol w:w="1908"/>
        <w:gridCol w:w="1908"/>
        <w:gridCol w:w="2426"/>
        <w:gridCol w:w="1755"/>
        <w:gridCol w:w="1950"/>
        <w:gridCol w:w="2685"/>
        <w:gridCol w:w="1363"/>
      </w:tblGrid>
      <w:tr>
        <w:tblPrEx>
          <w:tblCellMar>
            <w:top w:w="0" w:type="dxa"/>
            <w:left w:w="0" w:type="dxa"/>
            <w:bottom w:w="0" w:type="dxa"/>
            <w:right w:w="0" w:type="dxa"/>
          </w:tblCellMar>
        </w:tblPrEx>
        <w:trPr>
          <w:trHeight w:val="856" w:hRule="atLeast"/>
        </w:trPr>
        <w:tc>
          <w:tcPr>
            <w:tcW w:w="13995"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ascii="方正小标宋简体" w:hAnsi="方正小标宋简体" w:eastAsia="方正小标宋简体" w:cs="方正小标宋简体"/>
                <w:color w:val="000000"/>
                <w:sz w:val="30"/>
                <w:szCs w:val="30"/>
              </w:rPr>
            </w:pPr>
            <w:r>
              <w:rPr>
                <w:rFonts w:hint="eastAsia" w:ascii="方正小标宋简体" w:hAnsi="方正小标宋简体" w:eastAsia="方正小标宋简体" w:cs="方正小标宋简体"/>
                <w:color w:val="000000"/>
                <w:kern w:val="0"/>
                <w:sz w:val="44"/>
                <w:szCs w:val="44"/>
                <w:lang w:bidi="ar"/>
              </w:rPr>
              <w:t>2021-2022年秋冬季各区县空气质量改善目标</w:t>
            </w:r>
          </w:p>
        </w:tc>
      </w:tr>
      <w:tr>
        <w:tblPrEx>
          <w:tblCellMar>
            <w:top w:w="0" w:type="dxa"/>
            <w:left w:w="0" w:type="dxa"/>
            <w:bottom w:w="0" w:type="dxa"/>
            <w:right w:w="0" w:type="dxa"/>
          </w:tblCellMar>
        </w:tblPrEx>
        <w:trPr>
          <w:trHeight w:val="661" w:hRule="atLeast"/>
        </w:trPr>
        <w:tc>
          <w:tcPr>
            <w:tcW w:w="190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bCs/>
                <w:color w:val="000000"/>
                <w:sz w:val="24"/>
                <w:szCs w:val="24"/>
              </w:rPr>
            </w:pPr>
            <w:r>
              <w:rPr>
                <w:rFonts w:cs="Times New Roman"/>
                <w:b/>
                <w:bCs/>
                <w:color w:val="000000"/>
                <w:kern w:val="0"/>
                <w:sz w:val="24"/>
                <w:szCs w:val="24"/>
                <w:lang w:bidi="ar"/>
              </w:rPr>
              <w:t>区 县</w:t>
            </w:r>
          </w:p>
        </w:tc>
        <w:tc>
          <w:tcPr>
            <w:tcW w:w="6089"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bCs/>
                <w:color w:val="000000"/>
                <w:sz w:val="24"/>
                <w:szCs w:val="24"/>
              </w:rPr>
            </w:pPr>
            <w:r>
              <w:rPr>
                <w:rStyle w:val="14"/>
                <w:b/>
                <w:bCs/>
                <w:sz w:val="24"/>
                <w:szCs w:val="24"/>
                <w:lang w:bidi="ar"/>
              </w:rPr>
              <w:t>PM</w:t>
            </w:r>
            <w:r>
              <w:rPr>
                <w:rStyle w:val="21"/>
                <w:b/>
                <w:bCs/>
                <w:sz w:val="24"/>
                <w:szCs w:val="24"/>
                <w:lang w:bidi="ar"/>
              </w:rPr>
              <w:t>2.5</w:t>
            </w:r>
            <w:r>
              <w:rPr>
                <w:rStyle w:val="20"/>
                <w:rFonts w:hint="default" w:ascii="Times New Roman" w:eastAsia="宋体" w:cs="Times New Roman"/>
                <w:b/>
                <w:bCs/>
                <w:sz w:val="24"/>
                <w:szCs w:val="24"/>
                <w:lang w:bidi="ar"/>
              </w:rPr>
              <w:t>平均浓度（微克</w:t>
            </w:r>
            <w:r>
              <w:rPr>
                <w:rStyle w:val="14"/>
                <w:b/>
                <w:bCs/>
                <w:sz w:val="24"/>
                <w:szCs w:val="24"/>
                <w:lang w:bidi="ar"/>
              </w:rPr>
              <w:t>/</w:t>
            </w:r>
            <w:r>
              <w:rPr>
                <w:rStyle w:val="20"/>
                <w:rFonts w:hint="default" w:ascii="Times New Roman" w:eastAsia="宋体" w:cs="Times New Roman"/>
                <w:b/>
                <w:bCs/>
                <w:sz w:val="24"/>
                <w:szCs w:val="24"/>
                <w:lang w:bidi="ar"/>
              </w:rPr>
              <w:t>立方米）</w:t>
            </w:r>
          </w:p>
        </w:tc>
        <w:tc>
          <w:tcPr>
            <w:tcW w:w="599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bCs/>
                <w:color w:val="000000"/>
                <w:sz w:val="24"/>
                <w:szCs w:val="24"/>
              </w:rPr>
            </w:pPr>
            <w:r>
              <w:rPr>
                <w:rStyle w:val="20"/>
                <w:rFonts w:hint="default" w:ascii="Times New Roman" w:eastAsia="宋体" w:cs="Times New Roman"/>
                <w:b/>
                <w:bCs/>
                <w:sz w:val="24"/>
                <w:szCs w:val="24"/>
                <w:lang w:bidi="ar"/>
              </w:rPr>
              <w:t>重污染天数（天）</w:t>
            </w:r>
          </w:p>
        </w:tc>
      </w:tr>
      <w:tr>
        <w:tblPrEx>
          <w:tblCellMar>
            <w:top w:w="0" w:type="dxa"/>
            <w:left w:w="0" w:type="dxa"/>
            <w:bottom w:w="0" w:type="dxa"/>
            <w:right w:w="0" w:type="dxa"/>
          </w:tblCellMar>
        </w:tblPrEx>
        <w:trPr>
          <w:trHeight w:val="722" w:hRule="atLeast"/>
        </w:trPr>
        <w:tc>
          <w:tcPr>
            <w:tcW w:w="190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cs="Times New Roman"/>
                <w:b/>
                <w:bCs/>
                <w:color w:val="000000"/>
                <w:sz w:val="24"/>
                <w:szCs w:val="24"/>
              </w:rPr>
            </w:pP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bCs/>
                <w:color w:val="000000"/>
                <w:sz w:val="24"/>
                <w:szCs w:val="24"/>
              </w:rPr>
            </w:pPr>
            <w:r>
              <w:rPr>
                <w:rStyle w:val="14"/>
                <w:b/>
                <w:bCs/>
                <w:sz w:val="24"/>
                <w:szCs w:val="24"/>
                <w:lang w:bidi="ar"/>
              </w:rPr>
              <w:t>2020-2021</w:t>
            </w:r>
            <w:r>
              <w:rPr>
                <w:rStyle w:val="20"/>
                <w:rFonts w:hint="default" w:ascii="Times New Roman" w:eastAsia="宋体" w:cs="Times New Roman"/>
                <w:b/>
                <w:bCs/>
                <w:sz w:val="24"/>
                <w:szCs w:val="24"/>
                <w:lang w:bidi="ar"/>
              </w:rPr>
              <w:t>秋冬季</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bCs/>
                <w:color w:val="000000"/>
                <w:sz w:val="24"/>
                <w:szCs w:val="24"/>
              </w:rPr>
            </w:pPr>
            <w:r>
              <w:rPr>
                <w:rStyle w:val="14"/>
                <w:b/>
                <w:bCs/>
                <w:sz w:val="24"/>
                <w:szCs w:val="24"/>
                <w:lang w:bidi="ar"/>
              </w:rPr>
              <w:t>2021-2022</w:t>
            </w:r>
            <w:r>
              <w:rPr>
                <w:rStyle w:val="20"/>
                <w:rFonts w:hint="default" w:ascii="Times New Roman" w:eastAsia="宋体" w:cs="Times New Roman"/>
                <w:b/>
                <w:bCs/>
                <w:sz w:val="24"/>
                <w:szCs w:val="24"/>
                <w:lang w:bidi="ar"/>
              </w:rPr>
              <w:t>秋冬季目标</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bCs/>
                <w:color w:val="000000"/>
                <w:sz w:val="24"/>
                <w:szCs w:val="24"/>
              </w:rPr>
            </w:pPr>
            <w:r>
              <w:rPr>
                <w:rStyle w:val="20"/>
                <w:rFonts w:hint="default" w:ascii="Times New Roman" w:eastAsia="宋体" w:cs="Times New Roman"/>
                <w:b/>
                <w:bCs/>
                <w:sz w:val="24"/>
                <w:szCs w:val="24"/>
                <w:lang w:bidi="ar"/>
              </w:rPr>
              <w:t>同比变幅（</w:t>
            </w:r>
            <w:r>
              <w:rPr>
                <w:rStyle w:val="14"/>
                <w:b/>
                <w:bCs/>
                <w:sz w:val="24"/>
                <w:szCs w:val="24"/>
                <w:lang w:bidi="ar"/>
              </w:rPr>
              <w:t>%</w:t>
            </w:r>
            <w:r>
              <w:rPr>
                <w:rStyle w:val="20"/>
                <w:rFonts w:hint="default" w:ascii="Times New Roman" w:eastAsia="宋体" w:cs="Times New Roman"/>
                <w:b/>
                <w:bCs/>
                <w:sz w:val="24"/>
                <w:szCs w:val="24"/>
                <w:lang w:bidi="ar"/>
              </w:rPr>
              <w:t>）</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bCs/>
                <w:color w:val="000000"/>
                <w:sz w:val="24"/>
                <w:szCs w:val="24"/>
              </w:rPr>
            </w:pPr>
            <w:r>
              <w:rPr>
                <w:rStyle w:val="14"/>
                <w:b/>
                <w:bCs/>
                <w:sz w:val="24"/>
                <w:szCs w:val="24"/>
                <w:lang w:bidi="ar"/>
              </w:rPr>
              <w:t>2020-2021</w:t>
            </w:r>
            <w:r>
              <w:rPr>
                <w:rStyle w:val="20"/>
                <w:rFonts w:hint="default" w:ascii="Times New Roman" w:eastAsia="宋体" w:cs="Times New Roman"/>
                <w:b/>
                <w:bCs/>
                <w:sz w:val="24"/>
                <w:szCs w:val="24"/>
                <w:lang w:bidi="ar"/>
              </w:rPr>
              <w:t>秋冬季</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bCs/>
                <w:color w:val="000000"/>
                <w:sz w:val="24"/>
                <w:szCs w:val="24"/>
              </w:rPr>
            </w:pPr>
            <w:r>
              <w:rPr>
                <w:rStyle w:val="14"/>
                <w:b/>
                <w:bCs/>
                <w:sz w:val="24"/>
                <w:szCs w:val="24"/>
                <w:lang w:bidi="ar"/>
              </w:rPr>
              <w:t>2021-2022</w:t>
            </w:r>
            <w:r>
              <w:rPr>
                <w:rStyle w:val="20"/>
                <w:rFonts w:hint="default" w:ascii="Times New Roman" w:eastAsia="宋体" w:cs="Times New Roman"/>
                <w:b/>
                <w:bCs/>
                <w:sz w:val="24"/>
                <w:szCs w:val="24"/>
                <w:lang w:bidi="ar"/>
              </w:rPr>
              <w:t>秋冬季目标</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b/>
                <w:bCs/>
                <w:color w:val="000000"/>
                <w:sz w:val="24"/>
                <w:szCs w:val="24"/>
              </w:rPr>
            </w:pPr>
            <w:r>
              <w:rPr>
                <w:rStyle w:val="20"/>
                <w:rFonts w:hint="default" w:ascii="Times New Roman" w:eastAsia="宋体" w:cs="Times New Roman"/>
                <w:b/>
                <w:bCs/>
                <w:sz w:val="24"/>
                <w:szCs w:val="24"/>
                <w:lang w:bidi="ar"/>
              </w:rPr>
              <w:t>同比变幅</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张店区</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71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66.0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-7.0%</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16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10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淄川区</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67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64.0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-4.5%</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16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10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博山区</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70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65.5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-6.4%</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14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9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-5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周村区</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62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60.5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-2.4%</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13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hint="eastAsia" w:cs="Times New Roman"/>
                <w:color w:val="000000"/>
                <w:kern w:val="0"/>
                <w:sz w:val="24"/>
                <w:szCs w:val="24"/>
                <w:lang w:bidi="ar"/>
              </w:rPr>
              <w:t>9</w:t>
            </w:r>
            <w:r>
              <w:rPr>
                <w:rFonts w:cs="Times New Roman"/>
                <w:color w:val="000000"/>
                <w:kern w:val="0"/>
                <w:sz w:val="24"/>
                <w:szCs w:val="24"/>
                <w:lang w:bidi="ar"/>
              </w:rPr>
              <w:t xml:space="preserve">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w:t>
            </w:r>
            <w:r>
              <w:rPr>
                <w:rFonts w:hint="eastAsia" w:cs="Times New Roman"/>
                <w:color w:val="000000"/>
                <w:kern w:val="0"/>
                <w:sz w:val="24"/>
                <w:szCs w:val="24"/>
                <w:lang w:bidi="ar"/>
              </w:rPr>
              <w:t>4</w:t>
            </w:r>
            <w:r>
              <w:rPr>
                <w:rFonts w:cs="Times New Roman"/>
                <w:color w:val="000000"/>
                <w:kern w:val="0"/>
                <w:sz w:val="24"/>
                <w:szCs w:val="24"/>
                <w:lang w:bidi="ar"/>
              </w:rPr>
              <w:t xml:space="preserve">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临淄区</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69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65.0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-5.8%</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11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hint="eastAsia" w:cs="Times New Roman"/>
                <w:color w:val="000000"/>
                <w:kern w:val="0"/>
                <w:sz w:val="24"/>
                <w:szCs w:val="24"/>
                <w:lang w:bidi="ar"/>
              </w:rPr>
              <w:t>8</w:t>
            </w:r>
            <w:r>
              <w:rPr>
                <w:rFonts w:cs="Times New Roman"/>
                <w:color w:val="000000"/>
                <w:kern w:val="0"/>
                <w:sz w:val="24"/>
                <w:szCs w:val="24"/>
                <w:lang w:bidi="ar"/>
              </w:rPr>
              <w:t xml:space="preserve">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w:t>
            </w:r>
            <w:r>
              <w:rPr>
                <w:rFonts w:hint="eastAsia" w:cs="Times New Roman"/>
                <w:color w:val="000000"/>
                <w:kern w:val="0"/>
                <w:sz w:val="24"/>
                <w:szCs w:val="24"/>
                <w:lang w:bidi="ar"/>
              </w:rPr>
              <w:t>3</w:t>
            </w:r>
            <w:r>
              <w:rPr>
                <w:rFonts w:cs="Times New Roman"/>
                <w:color w:val="000000"/>
                <w:kern w:val="0"/>
                <w:sz w:val="24"/>
                <w:szCs w:val="24"/>
                <w:lang w:bidi="ar"/>
              </w:rPr>
              <w:t xml:space="preserve">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桓台县</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70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65.5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-6.4%</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13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hint="eastAsia" w:cs="Times New Roman"/>
                <w:color w:val="000000"/>
                <w:kern w:val="0"/>
                <w:sz w:val="24"/>
                <w:szCs w:val="24"/>
                <w:lang w:bidi="ar"/>
              </w:rPr>
              <w:t>9</w:t>
            </w:r>
            <w:r>
              <w:rPr>
                <w:rFonts w:cs="Times New Roman"/>
                <w:color w:val="000000"/>
                <w:kern w:val="0"/>
                <w:sz w:val="24"/>
                <w:szCs w:val="24"/>
                <w:lang w:bidi="ar"/>
              </w:rPr>
              <w:t xml:space="preserve">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w:t>
            </w:r>
            <w:r>
              <w:rPr>
                <w:rFonts w:hint="eastAsia" w:cs="Times New Roman"/>
                <w:color w:val="000000"/>
                <w:kern w:val="0"/>
                <w:sz w:val="24"/>
                <w:szCs w:val="24"/>
                <w:lang w:bidi="ar"/>
              </w:rPr>
              <w:t>4</w:t>
            </w:r>
            <w:r>
              <w:rPr>
                <w:rFonts w:cs="Times New Roman"/>
                <w:color w:val="000000"/>
                <w:kern w:val="0"/>
                <w:sz w:val="24"/>
                <w:szCs w:val="24"/>
                <w:lang w:bidi="ar"/>
              </w:rPr>
              <w:t xml:space="preserve">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高青县</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72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66.5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-7.6%</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16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10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沂源县</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60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5</w:t>
            </w:r>
            <w:r>
              <w:rPr>
                <w:rFonts w:cs="Times New Roman"/>
                <w:color w:val="000000"/>
                <w:kern w:val="0"/>
                <w:sz w:val="24"/>
                <w:szCs w:val="24"/>
                <w:lang w:bidi="ar"/>
              </w:rPr>
              <w:t>9.0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-1.7%</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5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高新区</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69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65.0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-5.8%</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11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hint="eastAsia" w:cs="Times New Roman"/>
                <w:color w:val="000000"/>
                <w:kern w:val="0"/>
                <w:sz w:val="24"/>
                <w:szCs w:val="24"/>
                <w:lang w:bidi="ar"/>
              </w:rPr>
              <w:t>8</w:t>
            </w:r>
            <w:r>
              <w:rPr>
                <w:rFonts w:cs="Times New Roman"/>
                <w:color w:val="000000"/>
                <w:kern w:val="0"/>
                <w:sz w:val="24"/>
                <w:szCs w:val="24"/>
                <w:lang w:bidi="ar"/>
              </w:rPr>
              <w:t xml:space="preserve">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w:t>
            </w:r>
            <w:r>
              <w:rPr>
                <w:rFonts w:hint="eastAsia" w:cs="Times New Roman"/>
                <w:color w:val="000000"/>
                <w:kern w:val="0"/>
                <w:sz w:val="24"/>
                <w:szCs w:val="24"/>
                <w:lang w:bidi="ar"/>
              </w:rPr>
              <w:t>3</w:t>
            </w:r>
            <w:r>
              <w:rPr>
                <w:rFonts w:cs="Times New Roman"/>
                <w:color w:val="000000"/>
                <w:kern w:val="0"/>
                <w:sz w:val="24"/>
                <w:szCs w:val="24"/>
                <w:lang w:bidi="ar"/>
              </w:rPr>
              <w:t xml:space="preserve">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经开区</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60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cs="Times New Roman"/>
                <w:color w:val="000000"/>
                <w:kern w:val="0"/>
                <w:sz w:val="24"/>
                <w:szCs w:val="24"/>
                <w:lang w:bidi="ar"/>
              </w:rPr>
              <w:t>59.0</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-1.7%</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7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5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-2 </w:t>
            </w:r>
          </w:p>
        </w:tc>
      </w:tr>
      <w:tr>
        <w:tblPrEx>
          <w:tblCellMar>
            <w:top w:w="0" w:type="dxa"/>
            <w:left w:w="0" w:type="dxa"/>
            <w:bottom w:w="0" w:type="dxa"/>
            <w:right w:w="0" w:type="dxa"/>
          </w:tblCellMar>
        </w:tblPrEx>
        <w:trPr>
          <w:trHeight w:val="408" w:hRule="atLeast"/>
        </w:trPr>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文昌湖区</w:t>
            </w:r>
          </w:p>
        </w:tc>
        <w:tc>
          <w:tcPr>
            <w:tcW w:w="19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62 </w:t>
            </w:r>
          </w:p>
        </w:tc>
        <w:tc>
          <w:tcPr>
            <w:tcW w:w="242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60.5</w:t>
            </w:r>
          </w:p>
        </w:tc>
        <w:tc>
          <w:tcPr>
            <w:tcW w:w="17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kern w:val="0"/>
                <w:sz w:val="24"/>
                <w:szCs w:val="24"/>
                <w:lang w:bidi="ar"/>
              </w:rPr>
            </w:pPr>
            <w:r>
              <w:rPr>
                <w:rFonts w:hint="eastAsia" w:cs="Times New Roman"/>
                <w:color w:val="000000"/>
                <w:kern w:val="0"/>
                <w:sz w:val="24"/>
                <w:szCs w:val="24"/>
                <w:lang w:bidi="ar"/>
              </w:rPr>
              <w:t>-2.4%</w:t>
            </w:r>
          </w:p>
        </w:tc>
        <w:tc>
          <w:tcPr>
            <w:tcW w:w="19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14 </w:t>
            </w:r>
          </w:p>
        </w:tc>
        <w:tc>
          <w:tcPr>
            <w:tcW w:w="26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9 </w:t>
            </w:r>
          </w:p>
        </w:tc>
        <w:tc>
          <w:tcPr>
            <w:tcW w:w="13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cs="Times New Roman"/>
                <w:color w:val="000000"/>
                <w:sz w:val="24"/>
                <w:szCs w:val="24"/>
              </w:rPr>
            </w:pPr>
            <w:r>
              <w:rPr>
                <w:rFonts w:cs="Times New Roman"/>
                <w:color w:val="000000"/>
                <w:kern w:val="0"/>
                <w:sz w:val="24"/>
                <w:szCs w:val="24"/>
                <w:lang w:bidi="ar"/>
              </w:rPr>
              <w:t xml:space="preserve">-5 </w:t>
            </w:r>
          </w:p>
        </w:tc>
      </w:tr>
      <w:tr>
        <w:tblPrEx>
          <w:tblCellMar>
            <w:top w:w="0" w:type="dxa"/>
            <w:left w:w="0" w:type="dxa"/>
            <w:bottom w:w="0" w:type="dxa"/>
            <w:right w:w="0" w:type="dxa"/>
          </w:tblCellMar>
        </w:tblPrEx>
        <w:trPr>
          <w:trHeight w:val="408" w:hRule="atLeast"/>
        </w:trPr>
        <w:tc>
          <w:tcPr>
            <w:tcW w:w="13995" w:type="dxa"/>
            <w:gridSpan w:val="7"/>
            <w:tcBorders>
              <w:top w:val="single" w:color="000000" w:sz="4" w:space="0"/>
              <w:left w:val="nil"/>
              <w:bottom w:val="nil"/>
              <w:right w:val="nil"/>
            </w:tcBorders>
            <w:tcMar>
              <w:top w:w="15" w:type="dxa"/>
              <w:left w:w="15" w:type="dxa"/>
              <w:right w:w="15" w:type="dxa"/>
            </w:tcMar>
            <w:vAlign w:val="center"/>
          </w:tcPr>
          <w:p>
            <w:pPr>
              <w:widowControl/>
              <w:textAlignment w:val="center"/>
              <w:rPr>
                <w:rFonts w:cs="Times New Roman"/>
                <w:color w:val="000000"/>
                <w:sz w:val="24"/>
                <w:szCs w:val="24"/>
              </w:rPr>
            </w:pPr>
            <w:r>
              <w:rPr>
                <w:rStyle w:val="18"/>
                <w:rFonts w:hint="default" w:ascii="Times New Roman" w:eastAsia="宋体" w:cs="Times New Roman"/>
                <w:sz w:val="24"/>
                <w:szCs w:val="24"/>
                <w:lang w:bidi="ar"/>
              </w:rPr>
              <w:t>注：张店区、博山区、临淄区、高新区、淄川区、周村区按国控点考核，其他区县按考核监测点位计。</w:t>
            </w:r>
          </w:p>
        </w:tc>
      </w:tr>
    </w:tbl>
    <w:p>
      <w:pPr>
        <w:pStyle w:val="4"/>
        <w:adjustRightInd w:val="0"/>
        <w:spacing w:before="0" w:after="0" w:line="240" w:lineRule="auto"/>
        <w:rPr>
          <w:rFonts w:cs="Times New Roman"/>
          <w:color w:val="000000"/>
          <w:sz w:val="32"/>
        </w:rPr>
      </w:pPr>
      <w:r>
        <w:rPr>
          <w:rFonts w:cs="Times New Roman"/>
          <w:color w:val="000000"/>
          <w:sz w:val="32"/>
        </w:rPr>
        <w:t>附件</w:t>
      </w:r>
      <w:r>
        <w:rPr>
          <w:rFonts w:hint="eastAsia" w:cs="Times New Roman"/>
          <w:color w:val="000000"/>
          <w:sz w:val="32"/>
        </w:rPr>
        <w:t>2</w:t>
      </w:r>
    </w:p>
    <w:p>
      <w:pPr>
        <w:pStyle w:val="22"/>
        <w:autoSpaceDN w:val="0"/>
        <w:adjustRightInd w:val="0"/>
        <w:snapToGrid w:val="0"/>
        <w:jc w:val="center"/>
        <w:rPr>
          <w:rFonts w:eastAsia="方正小标宋_GBK"/>
          <w:kern w:val="2"/>
          <w:sz w:val="44"/>
          <w:szCs w:val="44"/>
        </w:rPr>
      </w:pPr>
      <w:r>
        <w:rPr>
          <w:rFonts w:hint="eastAsia" w:ascii="方正小标宋简体" w:hAnsi="方正小标宋简体" w:eastAsia="方正小标宋简体" w:cs="方正小标宋简体"/>
          <w:kern w:val="2"/>
          <w:sz w:val="44"/>
          <w:szCs w:val="44"/>
        </w:rPr>
        <w:t>2021—2022年秋冬季大气污染综合治理攻坚行动方案措施任务表</w:t>
      </w:r>
    </w:p>
    <w:tbl>
      <w:tblPr>
        <w:tblStyle w:val="9"/>
        <w:tblW w:w="1411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428"/>
        <w:gridCol w:w="907"/>
        <w:gridCol w:w="1259"/>
        <w:gridCol w:w="1664"/>
        <w:gridCol w:w="8045"/>
        <w:gridCol w:w="18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tblHeader/>
          <w:jc w:val="center"/>
        </w:trPr>
        <w:tc>
          <w:tcPr>
            <w:tcW w:w="428" w:type="dxa"/>
            <w:shd w:val="clear" w:color="000000" w:fill="FFFFFF"/>
            <w:vAlign w:val="center"/>
          </w:tcPr>
          <w:p>
            <w:pPr>
              <w:widowControl/>
              <w:jc w:val="center"/>
              <w:rPr>
                <w:rFonts w:cs="Times New Roman"/>
                <w:b/>
                <w:bCs/>
                <w:color w:val="000000"/>
                <w:kern w:val="0"/>
                <w:sz w:val="24"/>
                <w:szCs w:val="24"/>
              </w:rPr>
            </w:pPr>
            <w:r>
              <w:rPr>
                <w:rFonts w:cs="Times New Roman"/>
                <w:b/>
                <w:bCs/>
                <w:color w:val="000000"/>
                <w:kern w:val="0"/>
                <w:sz w:val="24"/>
                <w:szCs w:val="24"/>
              </w:rPr>
              <w:t>类别</w:t>
            </w:r>
          </w:p>
        </w:tc>
        <w:tc>
          <w:tcPr>
            <w:tcW w:w="907" w:type="dxa"/>
            <w:shd w:val="clear" w:color="000000" w:fill="FFFFFF"/>
            <w:vAlign w:val="center"/>
          </w:tcPr>
          <w:p>
            <w:pPr>
              <w:widowControl/>
              <w:jc w:val="center"/>
              <w:rPr>
                <w:rFonts w:cs="Times New Roman"/>
                <w:b/>
                <w:bCs/>
                <w:color w:val="000000"/>
                <w:kern w:val="0"/>
                <w:sz w:val="24"/>
                <w:szCs w:val="24"/>
              </w:rPr>
            </w:pPr>
            <w:r>
              <w:rPr>
                <w:rFonts w:cs="Times New Roman"/>
                <w:b/>
                <w:bCs/>
                <w:color w:val="000000"/>
                <w:kern w:val="0"/>
                <w:sz w:val="24"/>
                <w:szCs w:val="24"/>
              </w:rPr>
              <w:t>重点工作</w:t>
            </w:r>
          </w:p>
        </w:tc>
        <w:tc>
          <w:tcPr>
            <w:tcW w:w="1259" w:type="dxa"/>
            <w:shd w:val="clear" w:color="000000" w:fill="FFFFFF"/>
            <w:vAlign w:val="center"/>
          </w:tcPr>
          <w:p>
            <w:pPr>
              <w:widowControl/>
              <w:jc w:val="center"/>
              <w:rPr>
                <w:rFonts w:cs="Times New Roman"/>
                <w:b/>
                <w:bCs/>
                <w:color w:val="000000"/>
                <w:kern w:val="0"/>
                <w:sz w:val="24"/>
                <w:szCs w:val="24"/>
              </w:rPr>
            </w:pPr>
            <w:r>
              <w:rPr>
                <w:rFonts w:cs="Times New Roman"/>
                <w:b/>
                <w:bCs/>
                <w:color w:val="000000"/>
                <w:kern w:val="0"/>
                <w:sz w:val="24"/>
                <w:szCs w:val="24"/>
              </w:rPr>
              <w:t>主要任务</w:t>
            </w:r>
          </w:p>
        </w:tc>
        <w:tc>
          <w:tcPr>
            <w:tcW w:w="1664" w:type="dxa"/>
            <w:shd w:val="clear" w:color="000000" w:fill="FFFFFF"/>
            <w:vAlign w:val="center"/>
          </w:tcPr>
          <w:p>
            <w:pPr>
              <w:widowControl/>
              <w:jc w:val="center"/>
              <w:rPr>
                <w:rFonts w:cs="Times New Roman"/>
                <w:b/>
                <w:bCs/>
                <w:color w:val="000000"/>
                <w:kern w:val="0"/>
                <w:sz w:val="24"/>
                <w:szCs w:val="24"/>
              </w:rPr>
            </w:pPr>
            <w:r>
              <w:rPr>
                <w:rFonts w:cs="Times New Roman"/>
                <w:b/>
                <w:bCs/>
                <w:color w:val="000000"/>
                <w:kern w:val="0"/>
                <w:sz w:val="24"/>
                <w:szCs w:val="24"/>
              </w:rPr>
              <w:t>完成时限</w:t>
            </w:r>
          </w:p>
        </w:tc>
        <w:tc>
          <w:tcPr>
            <w:tcW w:w="8045" w:type="dxa"/>
            <w:shd w:val="clear" w:color="000000" w:fill="FFFFFF"/>
            <w:vAlign w:val="center"/>
          </w:tcPr>
          <w:p>
            <w:pPr>
              <w:widowControl/>
              <w:jc w:val="center"/>
              <w:rPr>
                <w:rFonts w:cs="Times New Roman"/>
                <w:b/>
                <w:bCs/>
                <w:color w:val="000000"/>
                <w:kern w:val="0"/>
                <w:sz w:val="24"/>
                <w:szCs w:val="24"/>
              </w:rPr>
            </w:pPr>
            <w:r>
              <w:rPr>
                <w:rFonts w:cs="Times New Roman"/>
                <w:b/>
                <w:bCs/>
                <w:color w:val="000000"/>
                <w:kern w:val="0"/>
                <w:sz w:val="24"/>
                <w:szCs w:val="24"/>
              </w:rPr>
              <w:t>工  程  措  施</w:t>
            </w:r>
          </w:p>
        </w:tc>
        <w:tc>
          <w:tcPr>
            <w:tcW w:w="1816" w:type="dxa"/>
            <w:shd w:val="clear" w:color="000000" w:fill="FFFFFF"/>
            <w:vAlign w:val="center"/>
          </w:tcPr>
          <w:p>
            <w:pPr>
              <w:widowControl/>
              <w:jc w:val="center"/>
              <w:rPr>
                <w:rFonts w:cs="Times New Roman"/>
                <w:b/>
                <w:bCs/>
                <w:color w:val="000000"/>
                <w:kern w:val="0"/>
                <w:sz w:val="24"/>
                <w:szCs w:val="24"/>
              </w:rPr>
            </w:pPr>
            <w:r>
              <w:rPr>
                <w:rFonts w:hint="eastAsia" w:cs="Times New Roman"/>
                <w:b/>
                <w:bCs/>
                <w:color w:val="000000"/>
                <w:kern w:val="0"/>
                <w:sz w:val="24"/>
                <w:szCs w:val="24"/>
              </w:rPr>
              <w:t>责任单位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restart"/>
            <w:shd w:val="clear" w:color="000000" w:fill="FFFFFF"/>
            <w:vAlign w:val="center"/>
          </w:tcPr>
          <w:p>
            <w:pPr>
              <w:adjustRightInd w:val="0"/>
              <w:snapToGrid w:val="0"/>
              <w:jc w:val="center"/>
              <w:rPr>
                <w:rFonts w:cs="Times New Roman"/>
                <w:color w:val="000000"/>
                <w:kern w:val="0"/>
              </w:rPr>
            </w:pPr>
            <w:r>
              <w:rPr>
                <w:rFonts w:cs="Times New Roman"/>
                <w:kern w:val="0"/>
              </w:rPr>
              <w:t>产业结构调整</w:t>
            </w:r>
          </w:p>
        </w:tc>
        <w:tc>
          <w:tcPr>
            <w:tcW w:w="907" w:type="dxa"/>
            <w:vMerge w:val="restart"/>
            <w:shd w:val="clear" w:color="000000" w:fill="FFFFFF"/>
            <w:vAlign w:val="center"/>
          </w:tcPr>
          <w:p>
            <w:pPr>
              <w:adjustRightInd w:val="0"/>
              <w:snapToGrid w:val="0"/>
              <w:jc w:val="center"/>
              <w:rPr>
                <w:rFonts w:cs="Times New Roman"/>
                <w:kern w:val="0"/>
              </w:rPr>
            </w:pPr>
            <w:r>
              <w:rPr>
                <w:rFonts w:hint="eastAsia" w:cs="Times New Roman"/>
                <w:kern w:val="0"/>
              </w:rPr>
              <w:t>“</w:t>
            </w:r>
            <w:r>
              <w:rPr>
                <w:rFonts w:cs="Times New Roman"/>
                <w:kern w:val="0"/>
              </w:rPr>
              <w:t>两高</w:t>
            </w:r>
            <w:r>
              <w:rPr>
                <w:rFonts w:hint="eastAsia" w:cs="Times New Roman"/>
                <w:kern w:val="0"/>
              </w:rPr>
              <w:t>”</w:t>
            </w:r>
            <w:r>
              <w:rPr>
                <w:rFonts w:cs="Times New Roman"/>
                <w:kern w:val="0"/>
              </w:rPr>
              <w:t>行业产能控制</w:t>
            </w:r>
          </w:p>
        </w:tc>
        <w:tc>
          <w:tcPr>
            <w:tcW w:w="1259" w:type="dxa"/>
            <w:shd w:val="clear" w:color="000000" w:fill="FFFFFF"/>
            <w:vAlign w:val="center"/>
          </w:tcPr>
          <w:p>
            <w:pPr>
              <w:widowControl/>
              <w:jc w:val="center"/>
              <w:rPr>
                <w:rFonts w:cs="Times New Roman"/>
                <w:kern w:val="0"/>
              </w:rPr>
            </w:pPr>
            <w:r>
              <w:rPr>
                <w:rFonts w:cs="Times New Roman"/>
                <w:kern w:val="0"/>
              </w:rPr>
              <w:t>压减钢铁行业产能</w:t>
            </w:r>
          </w:p>
        </w:tc>
        <w:tc>
          <w:tcPr>
            <w:tcW w:w="1664" w:type="dxa"/>
            <w:shd w:val="clear" w:color="000000" w:fill="FFFFFF"/>
            <w:vAlign w:val="center"/>
          </w:tcPr>
          <w:p>
            <w:pPr>
              <w:widowControl/>
              <w:jc w:val="center"/>
              <w:rPr>
                <w:rFonts w:cs="Times New Roman"/>
                <w:kern w:val="0"/>
              </w:rPr>
            </w:pPr>
            <w:r>
              <w:rPr>
                <w:rFonts w:cs="Times New Roman"/>
                <w:kern w:val="0"/>
              </w:rPr>
              <w:t>2021年12月底前</w:t>
            </w:r>
          </w:p>
        </w:tc>
        <w:tc>
          <w:tcPr>
            <w:tcW w:w="8045" w:type="dxa"/>
            <w:shd w:val="clear" w:color="000000" w:fill="FFFFFF"/>
            <w:vAlign w:val="center"/>
          </w:tcPr>
          <w:p>
            <w:pPr>
              <w:widowControl/>
              <w:jc w:val="left"/>
              <w:rPr>
                <w:rFonts w:cs="Times New Roman"/>
                <w:kern w:val="0"/>
              </w:rPr>
            </w:pPr>
            <w:r>
              <w:rPr>
                <w:rFonts w:cs="Times New Roman"/>
                <w:kern w:val="0"/>
              </w:rPr>
              <w:t>山钢集团永锋淄博有限公司完成产能转移，冶炼设备关停，压减炼铁产能122万吨，炼钢产能270万吨。</w:t>
            </w:r>
          </w:p>
        </w:tc>
        <w:tc>
          <w:tcPr>
            <w:tcW w:w="1816" w:type="dxa"/>
            <w:shd w:val="clear" w:color="000000" w:fill="FFFFFF"/>
            <w:vAlign w:val="center"/>
          </w:tcPr>
          <w:p>
            <w:pPr>
              <w:widowControl/>
              <w:jc w:val="center"/>
              <w:rPr>
                <w:rFonts w:cs="Times New Roman"/>
                <w:kern w:val="0"/>
              </w:rPr>
            </w:pPr>
            <w:r>
              <w:rPr>
                <w:rFonts w:hint="eastAsia" w:ascii="宋体" w:hAnsi="宋体" w:cs="宋体"/>
                <w:kern w:val="0"/>
                <w:szCs w:val="21"/>
              </w:rPr>
              <w:t>市工业和信息化局，桓台县政府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left"/>
              <w:rPr>
                <w:rFonts w:cs="Times New Roman"/>
                <w:color w:val="FF0000"/>
                <w:kern w:val="0"/>
              </w:rPr>
            </w:pPr>
          </w:p>
        </w:tc>
        <w:tc>
          <w:tcPr>
            <w:tcW w:w="907" w:type="dxa"/>
            <w:vMerge w:val="continue"/>
            <w:shd w:val="clear" w:color="000000" w:fill="FFFFFF"/>
            <w:vAlign w:val="center"/>
          </w:tcPr>
          <w:p>
            <w:pPr>
              <w:adjustRightInd w:val="0"/>
              <w:snapToGrid w:val="0"/>
              <w:jc w:val="center"/>
              <w:rPr>
                <w:rFonts w:cs="Times New Roman"/>
                <w:color w:val="FF0000"/>
                <w:kern w:val="0"/>
              </w:rPr>
            </w:pPr>
          </w:p>
        </w:tc>
        <w:tc>
          <w:tcPr>
            <w:tcW w:w="1259" w:type="dxa"/>
            <w:shd w:val="clear" w:color="000000" w:fill="FFFFFF"/>
            <w:vAlign w:val="center"/>
          </w:tcPr>
          <w:p>
            <w:pPr>
              <w:widowControl/>
              <w:jc w:val="center"/>
              <w:rPr>
                <w:rFonts w:cs="Times New Roman"/>
                <w:kern w:val="0"/>
              </w:rPr>
            </w:pPr>
            <w:r>
              <w:rPr>
                <w:rFonts w:hint="eastAsia" w:cs="Times New Roman"/>
                <w:kern w:val="0"/>
              </w:rPr>
              <w:t>“</w:t>
            </w:r>
            <w:r>
              <w:rPr>
                <w:rFonts w:cs="Times New Roman"/>
                <w:kern w:val="0"/>
              </w:rPr>
              <w:t>两高</w:t>
            </w:r>
            <w:r>
              <w:rPr>
                <w:rFonts w:hint="eastAsia" w:cs="Times New Roman"/>
                <w:kern w:val="0"/>
              </w:rPr>
              <w:t>”</w:t>
            </w:r>
            <w:r>
              <w:rPr>
                <w:rFonts w:cs="Times New Roman"/>
                <w:kern w:val="0"/>
              </w:rPr>
              <w:t>严禁新增产能</w:t>
            </w:r>
          </w:p>
        </w:tc>
        <w:tc>
          <w:tcPr>
            <w:tcW w:w="1664" w:type="dxa"/>
            <w:shd w:val="clear" w:color="000000" w:fill="FFFFFF"/>
            <w:vAlign w:val="center"/>
          </w:tcPr>
          <w:p>
            <w:pPr>
              <w:widowControl/>
              <w:jc w:val="center"/>
              <w:rPr>
                <w:rFonts w:cs="Times New Roman"/>
                <w:kern w:val="0"/>
              </w:rPr>
            </w:pPr>
            <w:r>
              <w:rPr>
                <w:rFonts w:cs="Times New Roman"/>
                <w:kern w:val="0"/>
              </w:rPr>
              <w:t>长期坚持</w:t>
            </w:r>
          </w:p>
        </w:tc>
        <w:tc>
          <w:tcPr>
            <w:tcW w:w="8045" w:type="dxa"/>
            <w:shd w:val="clear" w:color="000000" w:fill="FFFFFF"/>
            <w:vAlign w:val="center"/>
          </w:tcPr>
          <w:p>
            <w:pPr>
              <w:widowControl/>
              <w:jc w:val="left"/>
              <w:rPr>
                <w:rFonts w:cs="Times New Roman"/>
                <w:kern w:val="0"/>
              </w:rPr>
            </w:pPr>
            <w:r>
              <w:rPr>
                <w:rFonts w:cs="Times New Roman"/>
                <w:kern w:val="0"/>
              </w:rPr>
              <w:t>严禁</w:t>
            </w:r>
            <w:r>
              <w:rPr>
                <w:rFonts w:hint="eastAsia" w:cs="Times New Roman"/>
                <w:kern w:val="0"/>
              </w:rPr>
              <w:t>煤电</w:t>
            </w:r>
            <w:r>
              <w:rPr>
                <w:rFonts w:cs="Times New Roman"/>
                <w:kern w:val="0"/>
              </w:rPr>
              <w:t>、</w:t>
            </w:r>
            <w:r>
              <w:rPr>
                <w:rFonts w:hint="eastAsia" w:cs="Times New Roman"/>
                <w:kern w:val="0"/>
              </w:rPr>
              <w:t>炼化、</w:t>
            </w:r>
            <w:r>
              <w:rPr>
                <w:rFonts w:cs="Times New Roman"/>
                <w:kern w:val="0"/>
              </w:rPr>
              <w:t>钢铁、</w:t>
            </w:r>
            <w:r>
              <w:rPr>
                <w:rFonts w:hint="eastAsia" w:cs="Times New Roman"/>
                <w:kern w:val="0"/>
              </w:rPr>
              <w:t>水泥</w:t>
            </w:r>
            <w:r>
              <w:rPr>
                <w:rFonts w:cs="Times New Roman"/>
                <w:kern w:val="0"/>
              </w:rPr>
              <w:t>等</w:t>
            </w:r>
            <w:r>
              <w:rPr>
                <w:rFonts w:hint="eastAsia" w:cs="Times New Roman"/>
                <w:kern w:val="0"/>
              </w:rPr>
              <w:t>“</w:t>
            </w:r>
            <w:r>
              <w:rPr>
                <w:rFonts w:cs="Times New Roman"/>
                <w:kern w:val="0"/>
              </w:rPr>
              <w:t>两高</w:t>
            </w:r>
            <w:r>
              <w:rPr>
                <w:rFonts w:hint="eastAsia" w:cs="Times New Roman"/>
                <w:kern w:val="0"/>
              </w:rPr>
              <w:t>”</w:t>
            </w:r>
            <w:r>
              <w:rPr>
                <w:rFonts w:cs="Times New Roman"/>
                <w:kern w:val="0"/>
              </w:rPr>
              <w:t>行业新增产能，</w:t>
            </w:r>
            <w:r>
              <w:rPr>
                <w:rFonts w:hint="eastAsia" w:cs="Times New Roman"/>
                <w:color w:val="000000"/>
                <w:kern w:val="0"/>
              </w:rPr>
              <w:t>严格实行产能、煤耗、能耗、碳排放、污染物排放“五个减量”替代</w:t>
            </w:r>
            <w:r>
              <w:rPr>
                <w:rFonts w:hint="eastAsia" w:cs="Times New Roman"/>
                <w:kern w:val="0"/>
              </w:rPr>
              <w:t>。</w:t>
            </w:r>
          </w:p>
        </w:tc>
        <w:tc>
          <w:tcPr>
            <w:tcW w:w="1816" w:type="dxa"/>
            <w:shd w:val="clear" w:color="000000" w:fill="FFFFFF"/>
            <w:vAlign w:val="center"/>
          </w:tcPr>
          <w:p>
            <w:pPr>
              <w:widowControl/>
              <w:jc w:val="left"/>
              <w:rPr>
                <w:rFonts w:cs="Times New Roman"/>
                <w:kern w:val="0"/>
              </w:rPr>
            </w:pPr>
            <w:r>
              <w:rPr>
                <w:rFonts w:hint="eastAsia" w:ascii="宋体" w:hAnsi="宋体" w:cs="宋体"/>
                <w:kern w:val="0"/>
                <w:szCs w:val="21"/>
              </w:rPr>
              <w:t>市发展改革委、市工业和信息化局，市行政审批服务局，各区县政府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left"/>
              <w:rPr>
                <w:rFonts w:cs="Times New Roman"/>
                <w:color w:val="FF0000"/>
                <w:kern w:val="0"/>
              </w:rPr>
            </w:pPr>
          </w:p>
        </w:tc>
        <w:tc>
          <w:tcPr>
            <w:tcW w:w="907" w:type="dxa"/>
            <w:vMerge w:val="continue"/>
            <w:shd w:val="clear" w:color="000000" w:fill="FFFFFF"/>
            <w:vAlign w:val="center"/>
          </w:tcPr>
          <w:p>
            <w:pPr>
              <w:adjustRightInd w:val="0"/>
              <w:snapToGrid w:val="0"/>
              <w:jc w:val="center"/>
              <w:rPr>
                <w:rFonts w:cs="Times New Roman"/>
                <w:color w:val="FF0000"/>
                <w:kern w:val="0"/>
              </w:rPr>
            </w:pPr>
          </w:p>
        </w:tc>
        <w:tc>
          <w:tcPr>
            <w:tcW w:w="1259" w:type="dxa"/>
            <w:shd w:val="clear" w:color="000000" w:fill="FFFFFF"/>
            <w:vAlign w:val="center"/>
          </w:tcPr>
          <w:p>
            <w:pPr>
              <w:widowControl/>
              <w:jc w:val="center"/>
              <w:rPr>
                <w:rFonts w:cs="Times New Roman"/>
                <w:kern w:val="0"/>
              </w:rPr>
            </w:pPr>
            <w:r>
              <w:rPr>
                <w:rFonts w:cs="Times New Roman"/>
                <w:kern w:val="0"/>
              </w:rPr>
              <w:t>淘汰落后产能</w:t>
            </w:r>
          </w:p>
        </w:tc>
        <w:tc>
          <w:tcPr>
            <w:tcW w:w="1664" w:type="dxa"/>
            <w:shd w:val="clear" w:color="000000" w:fill="FFFFFF"/>
            <w:vAlign w:val="center"/>
          </w:tcPr>
          <w:p>
            <w:pPr>
              <w:widowControl/>
              <w:jc w:val="center"/>
              <w:rPr>
                <w:rFonts w:cs="Times New Roman"/>
                <w:kern w:val="0"/>
              </w:rPr>
            </w:pPr>
            <w:r>
              <w:rPr>
                <w:rFonts w:cs="Times New Roman"/>
                <w:kern w:val="0"/>
              </w:rPr>
              <w:t>2021年12月底前</w:t>
            </w:r>
          </w:p>
        </w:tc>
        <w:tc>
          <w:tcPr>
            <w:tcW w:w="8045" w:type="dxa"/>
            <w:shd w:val="clear" w:color="000000" w:fill="FFFFFF"/>
            <w:vAlign w:val="center"/>
          </w:tcPr>
          <w:p>
            <w:pPr>
              <w:widowControl/>
              <w:jc w:val="left"/>
              <w:rPr>
                <w:rFonts w:cs="Times New Roman"/>
                <w:kern w:val="0"/>
              </w:rPr>
            </w:pPr>
            <w:r>
              <w:rPr>
                <w:rFonts w:cs="Times New Roman"/>
                <w:kern w:val="0"/>
              </w:rPr>
              <w:t>淘汰砂型铸造粘土烘干砂型及型芯工艺和砂型铸造油砂制芯工艺生产线，淘汰100万平方米/年（不含）以下的建筑陶瓷砖、20万件/年（不含）以下卫生陶瓷生产线，淘汰直径3米（不含）以下水泥粉磨设备（生产特种水泥除外）。</w:t>
            </w:r>
          </w:p>
        </w:tc>
        <w:tc>
          <w:tcPr>
            <w:tcW w:w="1816" w:type="dxa"/>
            <w:shd w:val="clear" w:color="000000" w:fill="FFFFFF"/>
            <w:vAlign w:val="center"/>
          </w:tcPr>
          <w:p>
            <w:pPr>
              <w:widowControl/>
              <w:jc w:val="left"/>
              <w:rPr>
                <w:rFonts w:cs="Times New Roman"/>
                <w:kern w:val="0"/>
              </w:rPr>
            </w:pPr>
            <w:r>
              <w:rPr>
                <w:rFonts w:hint="eastAsia" w:ascii="宋体" w:hAnsi="宋体" w:cs="宋体"/>
                <w:kern w:val="0"/>
                <w:szCs w:val="21"/>
              </w:rPr>
              <w:t>市工业和信息化局，各区县政府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left"/>
              <w:rPr>
                <w:rFonts w:cs="Times New Roman"/>
                <w:color w:val="000000"/>
                <w:kern w:val="0"/>
              </w:rPr>
            </w:pPr>
          </w:p>
        </w:tc>
        <w:tc>
          <w:tcPr>
            <w:tcW w:w="907" w:type="dxa"/>
            <w:shd w:val="clear" w:color="000000" w:fill="FFFFFF"/>
            <w:vAlign w:val="center"/>
          </w:tcPr>
          <w:p>
            <w:pPr>
              <w:adjustRightInd w:val="0"/>
              <w:snapToGrid w:val="0"/>
              <w:jc w:val="center"/>
              <w:rPr>
                <w:rFonts w:cs="Times New Roman"/>
                <w:kern w:val="0"/>
              </w:rPr>
            </w:pPr>
            <w:r>
              <w:rPr>
                <w:rFonts w:cs="Times New Roman"/>
                <w:kern w:val="0"/>
              </w:rPr>
              <w:t>产业集群综合整治</w:t>
            </w:r>
          </w:p>
        </w:tc>
        <w:tc>
          <w:tcPr>
            <w:tcW w:w="1259" w:type="dxa"/>
            <w:shd w:val="clear" w:color="000000" w:fill="FFFFFF"/>
            <w:vAlign w:val="center"/>
          </w:tcPr>
          <w:p>
            <w:pPr>
              <w:adjustRightInd w:val="0"/>
              <w:snapToGrid w:val="0"/>
              <w:jc w:val="center"/>
              <w:rPr>
                <w:rFonts w:cs="Times New Roman"/>
                <w:kern w:val="0"/>
              </w:rPr>
            </w:pPr>
            <w:r>
              <w:rPr>
                <w:rFonts w:cs="Times New Roman"/>
                <w:kern w:val="0"/>
              </w:rPr>
              <w:t>涉气产业集群综合整治</w:t>
            </w:r>
          </w:p>
        </w:tc>
        <w:tc>
          <w:tcPr>
            <w:tcW w:w="1664" w:type="dxa"/>
            <w:shd w:val="clear" w:color="000000" w:fill="FFFFFF"/>
            <w:vAlign w:val="center"/>
          </w:tcPr>
          <w:p>
            <w:pPr>
              <w:widowControl/>
              <w:jc w:val="center"/>
              <w:rPr>
                <w:rFonts w:cs="Times New Roman"/>
                <w:kern w:val="0"/>
              </w:rPr>
            </w:pPr>
            <w:r>
              <w:rPr>
                <w:rFonts w:cs="Times New Roman"/>
                <w:kern w:val="0"/>
              </w:rPr>
              <w:t>2021年12月底前</w:t>
            </w:r>
          </w:p>
        </w:tc>
        <w:tc>
          <w:tcPr>
            <w:tcW w:w="8045" w:type="dxa"/>
            <w:shd w:val="clear" w:color="000000" w:fill="FFFFFF"/>
            <w:vAlign w:val="center"/>
          </w:tcPr>
          <w:p>
            <w:pPr>
              <w:adjustRightInd w:val="0"/>
              <w:snapToGrid w:val="0"/>
              <w:jc w:val="left"/>
              <w:rPr>
                <w:rFonts w:cs="Times New Roman"/>
                <w:kern w:val="0"/>
              </w:rPr>
            </w:pPr>
            <w:r>
              <w:rPr>
                <w:rFonts w:cs="Times New Roman"/>
                <w:kern w:val="0"/>
              </w:rPr>
              <w:t>深化淄川区铸造产业集群51家企业综合治理，同步完成区域环境整治工作。</w:t>
            </w:r>
          </w:p>
        </w:tc>
        <w:tc>
          <w:tcPr>
            <w:tcW w:w="1816" w:type="dxa"/>
            <w:shd w:val="clear" w:color="000000" w:fill="FFFFFF"/>
            <w:vAlign w:val="center"/>
          </w:tcPr>
          <w:p>
            <w:pPr>
              <w:adjustRightInd w:val="0"/>
              <w:snapToGrid w:val="0"/>
              <w:jc w:val="left"/>
              <w:rPr>
                <w:rFonts w:cs="Times New Roman"/>
                <w:kern w:val="0"/>
              </w:rPr>
            </w:pPr>
            <w:r>
              <w:rPr>
                <w:rFonts w:cs="Times New Roman"/>
                <w:kern w:val="0"/>
              </w:rPr>
              <w:t>市工业和信息化局、市生态环境局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left"/>
              <w:rPr>
                <w:rFonts w:cs="Times New Roman"/>
                <w:color w:val="000000"/>
                <w:kern w:val="0"/>
              </w:rPr>
            </w:pPr>
          </w:p>
        </w:tc>
        <w:tc>
          <w:tcPr>
            <w:tcW w:w="907" w:type="dxa"/>
            <w:vMerge w:val="restart"/>
            <w:shd w:val="clear" w:color="000000" w:fill="FFFFFF"/>
            <w:vAlign w:val="center"/>
          </w:tcPr>
          <w:p>
            <w:pPr>
              <w:adjustRightInd w:val="0"/>
              <w:snapToGrid w:val="0"/>
              <w:jc w:val="center"/>
              <w:rPr>
                <w:rFonts w:cs="Times New Roman"/>
                <w:kern w:val="0"/>
              </w:rPr>
            </w:pPr>
            <w:r>
              <w:rPr>
                <w:rFonts w:cs="Times New Roman"/>
                <w:kern w:val="0"/>
              </w:rPr>
              <w:t>工业源污染治理</w:t>
            </w:r>
          </w:p>
        </w:tc>
        <w:tc>
          <w:tcPr>
            <w:tcW w:w="1259" w:type="dxa"/>
            <w:shd w:val="clear" w:color="000000" w:fill="FFFFFF"/>
            <w:vAlign w:val="center"/>
          </w:tcPr>
          <w:p>
            <w:pPr>
              <w:adjustRightInd w:val="0"/>
              <w:snapToGrid w:val="0"/>
              <w:jc w:val="center"/>
              <w:rPr>
                <w:rFonts w:cs="Times New Roman"/>
                <w:kern w:val="0"/>
              </w:rPr>
            </w:pPr>
            <w:r>
              <w:rPr>
                <w:rFonts w:cs="Times New Roman"/>
                <w:kern w:val="0"/>
              </w:rPr>
              <w:t>水泥等行业深度治理</w:t>
            </w:r>
          </w:p>
        </w:tc>
        <w:tc>
          <w:tcPr>
            <w:tcW w:w="1664" w:type="dxa"/>
            <w:shd w:val="clear" w:color="000000" w:fill="FFFFFF"/>
            <w:vAlign w:val="center"/>
          </w:tcPr>
          <w:p>
            <w:pPr>
              <w:widowControl/>
              <w:jc w:val="center"/>
              <w:rPr>
                <w:rFonts w:cs="Times New Roman"/>
                <w:kern w:val="0"/>
              </w:rPr>
            </w:pPr>
            <w:r>
              <w:rPr>
                <w:rFonts w:cs="Times New Roman"/>
                <w:kern w:val="0"/>
              </w:rPr>
              <w:t>2022年3月底前</w:t>
            </w:r>
          </w:p>
        </w:tc>
        <w:tc>
          <w:tcPr>
            <w:tcW w:w="8045" w:type="dxa"/>
            <w:shd w:val="clear" w:color="000000" w:fill="FFFFFF"/>
            <w:vAlign w:val="center"/>
          </w:tcPr>
          <w:p>
            <w:pPr>
              <w:adjustRightInd w:val="0"/>
              <w:snapToGrid w:val="0"/>
              <w:jc w:val="left"/>
              <w:rPr>
                <w:rFonts w:cs="Times New Roman"/>
                <w:kern w:val="0"/>
              </w:rPr>
            </w:pPr>
            <w:r>
              <w:rPr>
                <w:rFonts w:cs="Times New Roman"/>
              </w:rPr>
              <w:t>15家建陶企业将氮氧化物稳定控制在60毫克/立方米以下。山东东华水泥有限公司1条水泥生产线2022年3月前完成超低排放改造。</w:t>
            </w:r>
          </w:p>
        </w:tc>
        <w:tc>
          <w:tcPr>
            <w:tcW w:w="1816" w:type="dxa"/>
            <w:shd w:val="clear" w:color="000000" w:fill="FFFFFF"/>
            <w:vAlign w:val="center"/>
          </w:tcPr>
          <w:p>
            <w:pPr>
              <w:adjustRightInd w:val="0"/>
              <w:snapToGrid w:val="0"/>
              <w:jc w:val="left"/>
              <w:rPr>
                <w:rFonts w:cs="Times New Roman"/>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left"/>
              <w:rPr>
                <w:rFonts w:cs="Times New Roman"/>
                <w:color w:val="000000"/>
                <w:kern w:val="0"/>
              </w:rPr>
            </w:pPr>
          </w:p>
        </w:tc>
        <w:tc>
          <w:tcPr>
            <w:tcW w:w="907" w:type="dxa"/>
            <w:vMerge w:val="continue"/>
            <w:shd w:val="clear" w:color="000000" w:fill="FFFFFF"/>
            <w:vAlign w:val="center"/>
          </w:tcPr>
          <w:p>
            <w:pPr>
              <w:adjustRightInd w:val="0"/>
              <w:snapToGrid w:val="0"/>
              <w:jc w:val="center"/>
              <w:rPr>
                <w:rFonts w:cs="Times New Roman"/>
                <w:color w:val="000000"/>
                <w:kern w:val="0"/>
              </w:rPr>
            </w:pPr>
          </w:p>
        </w:tc>
        <w:tc>
          <w:tcPr>
            <w:tcW w:w="1259" w:type="dxa"/>
            <w:shd w:val="clear" w:color="000000" w:fill="FFFFFF"/>
            <w:vAlign w:val="center"/>
          </w:tcPr>
          <w:p>
            <w:pPr>
              <w:adjustRightInd w:val="0"/>
              <w:snapToGrid w:val="0"/>
              <w:jc w:val="center"/>
              <w:rPr>
                <w:rFonts w:cs="Times New Roman"/>
                <w:kern w:val="0"/>
              </w:rPr>
            </w:pPr>
            <w:r>
              <w:rPr>
                <w:rFonts w:cs="Times New Roman"/>
                <w:kern w:val="0"/>
              </w:rPr>
              <w:t>其他建材行业深度治理</w:t>
            </w:r>
          </w:p>
        </w:tc>
        <w:tc>
          <w:tcPr>
            <w:tcW w:w="1664" w:type="dxa"/>
            <w:shd w:val="clear" w:color="000000" w:fill="FFFFFF"/>
            <w:vAlign w:val="center"/>
          </w:tcPr>
          <w:p>
            <w:pPr>
              <w:widowControl/>
              <w:jc w:val="center"/>
              <w:rPr>
                <w:rFonts w:cs="Times New Roman"/>
                <w:kern w:val="0"/>
              </w:rPr>
            </w:pPr>
            <w:r>
              <w:rPr>
                <w:rFonts w:cs="Times New Roman"/>
                <w:kern w:val="0"/>
              </w:rPr>
              <w:t>2022年3月底前</w:t>
            </w:r>
          </w:p>
        </w:tc>
        <w:tc>
          <w:tcPr>
            <w:tcW w:w="8045" w:type="dxa"/>
            <w:shd w:val="clear" w:color="000000" w:fill="FFFFFF"/>
            <w:vAlign w:val="center"/>
          </w:tcPr>
          <w:p>
            <w:pPr>
              <w:widowControl/>
              <w:autoSpaceDE w:val="0"/>
              <w:autoSpaceDN w:val="0"/>
              <w:rPr>
                <w:rFonts w:cs="Times New Roman"/>
                <w:kern w:val="0"/>
              </w:rPr>
            </w:pPr>
            <w:r>
              <w:rPr>
                <w:rFonts w:cs="Times New Roman"/>
              </w:rPr>
              <w:t>山东嘉腾实业有限公司（耐火材料）3万吨产能完成脱硫脱硝除尘改造；中材江西电瓷电器有限公司山东分公司（陶瓷行业）0.9万吨产能完成脱硝改造。</w:t>
            </w:r>
          </w:p>
        </w:tc>
        <w:tc>
          <w:tcPr>
            <w:tcW w:w="1816" w:type="dxa"/>
            <w:shd w:val="clear" w:color="000000" w:fill="FFFFFF"/>
            <w:vAlign w:val="center"/>
          </w:tcPr>
          <w:p>
            <w:pPr>
              <w:adjustRightInd w:val="0"/>
              <w:snapToGrid w:val="0"/>
              <w:jc w:val="left"/>
              <w:rPr>
                <w:rFonts w:cs="Times New Roman"/>
              </w:rPr>
            </w:pPr>
            <w:r>
              <w:rPr>
                <w:rFonts w:hint="eastAsia"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left"/>
              <w:rPr>
                <w:rFonts w:cs="Times New Roman"/>
                <w:color w:val="000000"/>
                <w:kern w:val="0"/>
              </w:rPr>
            </w:pPr>
          </w:p>
        </w:tc>
        <w:tc>
          <w:tcPr>
            <w:tcW w:w="907" w:type="dxa"/>
            <w:vMerge w:val="continue"/>
            <w:shd w:val="clear" w:color="auto" w:fill="auto"/>
            <w:vAlign w:val="center"/>
          </w:tcPr>
          <w:p>
            <w:pPr>
              <w:adjustRightInd w:val="0"/>
              <w:snapToGrid w:val="0"/>
              <w:jc w:val="left"/>
              <w:rPr>
                <w:rFonts w:cs="Times New Roman"/>
                <w:color w:val="000000"/>
                <w:kern w:val="0"/>
              </w:rPr>
            </w:pPr>
          </w:p>
        </w:tc>
        <w:tc>
          <w:tcPr>
            <w:tcW w:w="1259" w:type="dxa"/>
            <w:vMerge w:val="restart"/>
            <w:shd w:val="clear" w:color="000000" w:fill="FFFFFF"/>
            <w:vAlign w:val="center"/>
          </w:tcPr>
          <w:p>
            <w:pPr>
              <w:adjustRightInd w:val="0"/>
              <w:snapToGrid w:val="0"/>
              <w:jc w:val="center"/>
              <w:rPr>
                <w:rFonts w:cs="Times New Roman"/>
                <w:kern w:val="0"/>
              </w:rPr>
            </w:pPr>
            <w:r>
              <w:rPr>
                <w:rFonts w:cs="Times New Roman"/>
                <w:kern w:val="0"/>
              </w:rPr>
              <w:t>无组织排放治理</w:t>
            </w:r>
          </w:p>
        </w:tc>
        <w:tc>
          <w:tcPr>
            <w:tcW w:w="1664" w:type="dxa"/>
            <w:shd w:val="clear" w:color="000000" w:fill="FFFFFF"/>
            <w:vAlign w:val="center"/>
          </w:tcPr>
          <w:p>
            <w:pPr>
              <w:widowControl/>
              <w:jc w:val="center"/>
              <w:rPr>
                <w:rFonts w:cs="Times New Roman"/>
                <w:kern w:val="0"/>
              </w:rPr>
            </w:pPr>
            <w:r>
              <w:rPr>
                <w:rFonts w:cs="Times New Roman"/>
                <w:kern w:val="0"/>
              </w:rPr>
              <w:t>2021年10月底前</w:t>
            </w:r>
          </w:p>
        </w:tc>
        <w:tc>
          <w:tcPr>
            <w:tcW w:w="8045" w:type="dxa"/>
            <w:shd w:val="clear" w:color="000000" w:fill="FFFFFF"/>
            <w:vAlign w:val="center"/>
          </w:tcPr>
          <w:p>
            <w:pPr>
              <w:adjustRightInd w:val="0"/>
              <w:snapToGrid w:val="0"/>
              <w:jc w:val="left"/>
              <w:rPr>
                <w:rFonts w:cs="Times New Roman"/>
                <w:kern w:val="0"/>
              </w:rPr>
            </w:pPr>
            <w:r>
              <w:rPr>
                <w:rFonts w:cs="Times New Roman"/>
                <w:kern w:val="0"/>
              </w:rPr>
              <w:t>玻璃企业1家、化工企业2家、铸造企业142家、耐火材料44家企业、其他建材186家、塑料制品1家、造纸行业1家、家具制造1家、平板玻璃行业1家，其他行业89家完成扬尘无组织排放治理。</w:t>
            </w:r>
          </w:p>
        </w:tc>
        <w:tc>
          <w:tcPr>
            <w:tcW w:w="1816" w:type="dxa"/>
            <w:shd w:val="clear" w:color="000000" w:fill="FFFFFF"/>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left"/>
              <w:rPr>
                <w:rFonts w:cs="Times New Roman"/>
                <w:color w:val="000000"/>
                <w:kern w:val="0"/>
              </w:rPr>
            </w:pPr>
          </w:p>
        </w:tc>
        <w:tc>
          <w:tcPr>
            <w:tcW w:w="907" w:type="dxa"/>
            <w:vMerge w:val="continue"/>
            <w:shd w:val="clear" w:color="auto" w:fill="auto"/>
            <w:vAlign w:val="center"/>
          </w:tcPr>
          <w:p>
            <w:pPr>
              <w:adjustRightInd w:val="0"/>
              <w:snapToGrid w:val="0"/>
              <w:jc w:val="left"/>
              <w:rPr>
                <w:rFonts w:cs="Times New Roman"/>
                <w:color w:val="000000"/>
                <w:kern w:val="0"/>
              </w:rPr>
            </w:pPr>
          </w:p>
        </w:tc>
        <w:tc>
          <w:tcPr>
            <w:tcW w:w="1259" w:type="dxa"/>
            <w:vMerge w:val="continue"/>
            <w:shd w:val="clear" w:color="000000" w:fill="FFFFFF"/>
            <w:vAlign w:val="center"/>
          </w:tcPr>
          <w:p>
            <w:pPr>
              <w:adjustRightInd w:val="0"/>
              <w:snapToGrid w:val="0"/>
              <w:jc w:val="center"/>
              <w:rPr>
                <w:rFonts w:cs="Times New Roman"/>
                <w:kern w:val="0"/>
              </w:rPr>
            </w:pPr>
          </w:p>
        </w:tc>
        <w:tc>
          <w:tcPr>
            <w:tcW w:w="1664" w:type="dxa"/>
            <w:shd w:val="clear" w:color="000000" w:fill="FFFFFF"/>
            <w:vAlign w:val="center"/>
          </w:tcPr>
          <w:p>
            <w:pPr>
              <w:widowControl/>
              <w:jc w:val="center"/>
              <w:rPr>
                <w:rFonts w:cs="Times New Roman"/>
                <w:kern w:val="0"/>
              </w:rPr>
            </w:pPr>
            <w:r>
              <w:rPr>
                <w:rFonts w:cs="Times New Roman"/>
                <w:kern w:val="0"/>
              </w:rPr>
              <w:t>2022年3月底前</w:t>
            </w:r>
          </w:p>
        </w:tc>
        <w:tc>
          <w:tcPr>
            <w:tcW w:w="8045" w:type="dxa"/>
            <w:shd w:val="clear" w:color="000000" w:fill="FFFFFF"/>
            <w:vAlign w:val="center"/>
          </w:tcPr>
          <w:p>
            <w:pPr>
              <w:widowControl/>
              <w:rPr>
                <w:rFonts w:cs="Times New Roman"/>
                <w:kern w:val="0"/>
              </w:rPr>
            </w:pPr>
            <w:r>
              <w:rPr>
                <w:rFonts w:cs="Times New Roman"/>
              </w:rPr>
              <w:t>火电行业1家企业完成无组织排放治理。</w:t>
            </w:r>
          </w:p>
        </w:tc>
        <w:tc>
          <w:tcPr>
            <w:tcW w:w="1816" w:type="dxa"/>
            <w:shd w:val="clear" w:color="000000" w:fill="FFFFFF"/>
            <w:vAlign w:val="center"/>
          </w:tcPr>
          <w:p>
            <w:pPr>
              <w:adjustRightInd w:val="0"/>
              <w:snapToGrid w:val="0"/>
              <w:jc w:val="left"/>
              <w:rPr>
                <w:rFonts w:cs="Times New Roman"/>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shd w:val="clear" w:color="auto" w:fill="auto"/>
            <w:vAlign w:val="center"/>
          </w:tcPr>
          <w:p>
            <w:pPr>
              <w:adjustRightInd w:val="0"/>
              <w:snapToGrid w:val="0"/>
              <w:jc w:val="center"/>
              <w:rPr>
                <w:rFonts w:cs="Times New Roman"/>
                <w:color w:val="000000"/>
                <w:kern w:val="0"/>
              </w:rPr>
            </w:pPr>
            <w:r>
              <w:rPr>
                <w:rFonts w:cs="Times New Roman"/>
                <w:color w:val="000000"/>
                <w:kern w:val="0"/>
              </w:rPr>
              <w:t>工业炉窑淘汰</w:t>
            </w:r>
          </w:p>
        </w:tc>
        <w:tc>
          <w:tcPr>
            <w:tcW w:w="1259" w:type="dxa"/>
            <w:shd w:val="clear" w:color="000000" w:fill="FFFFFF"/>
            <w:vAlign w:val="center"/>
          </w:tcPr>
          <w:p>
            <w:pPr>
              <w:widowControl/>
              <w:jc w:val="center"/>
              <w:rPr>
                <w:rFonts w:cs="Times New Roman"/>
                <w:kern w:val="0"/>
              </w:rPr>
            </w:pPr>
            <w:r>
              <w:rPr>
                <w:rFonts w:cs="Times New Roman"/>
                <w:kern w:val="0"/>
              </w:rPr>
              <w:t>工业炉窑淘汰</w:t>
            </w:r>
          </w:p>
        </w:tc>
        <w:tc>
          <w:tcPr>
            <w:tcW w:w="1664" w:type="dxa"/>
            <w:shd w:val="clear" w:color="000000" w:fill="FFFFFF"/>
            <w:vAlign w:val="center"/>
          </w:tcPr>
          <w:p>
            <w:pPr>
              <w:widowControl/>
              <w:jc w:val="center"/>
              <w:rPr>
                <w:rFonts w:cs="Times New Roman"/>
                <w:kern w:val="0"/>
              </w:rPr>
            </w:pPr>
            <w:r>
              <w:rPr>
                <w:rFonts w:cs="Times New Roman"/>
                <w:kern w:val="0"/>
              </w:rPr>
              <w:t>2021年12月底前</w:t>
            </w:r>
          </w:p>
        </w:tc>
        <w:tc>
          <w:tcPr>
            <w:tcW w:w="8045" w:type="dxa"/>
            <w:shd w:val="clear" w:color="000000" w:fill="FFFFFF"/>
            <w:vAlign w:val="center"/>
          </w:tcPr>
          <w:p>
            <w:pPr>
              <w:widowControl/>
              <w:jc w:val="left"/>
              <w:rPr>
                <w:rFonts w:cs="Times New Roman"/>
                <w:kern w:val="0"/>
              </w:rPr>
            </w:pPr>
            <w:r>
              <w:rPr>
                <w:rFonts w:cs="Times New Roman"/>
                <w:kern w:val="0"/>
              </w:rPr>
              <w:t>淘汰已发现的5台</w:t>
            </w:r>
            <w:r>
              <w:rPr>
                <w:rFonts w:hint="eastAsia" w:cs="Times New Roman"/>
                <w:kern w:val="0"/>
              </w:rPr>
              <w:t>“</w:t>
            </w:r>
            <w:r>
              <w:rPr>
                <w:rFonts w:cs="Times New Roman"/>
                <w:kern w:val="0"/>
              </w:rPr>
              <w:t>重质砖炉衬台车炉</w:t>
            </w:r>
            <w:r>
              <w:rPr>
                <w:rFonts w:hint="eastAsia" w:cs="Times New Roman"/>
                <w:kern w:val="0"/>
              </w:rPr>
              <w:t>”</w:t>
            </w:r>
            <w:r>
              <w:rPr>
                <w:rFonts w:cs="Times New Roman"/>
                <w:kern w:val="0"/>
              </w:rPr>
              <w:t>、2条砖瓦窑。对照《产业结构调整指导目录（2019年本）》持续开展排查，发现一台淘汰一台。</w:t>
            </w:r>
          </w:p>
        </w:tc>
        <w:tc>
          <w:tcPr>
            <w:tcW w:w="1816" w:type="dxa"/>
            <w:shd w:val="clear" w:color="000000" w:fill="FFFFFF"/>
            <w:vAlign w:val="center"/>
          </w:tcPr>
          <w:p>
            <w:pPr>
              <w:widowControl/>
              <w:jc w:val="left"/>
              <w:rPr>
                <w:rFonts w:cs="Times New Roman"/>
                <w:kern w:val="0"/>
              </w:rPr>
            </w:pPr>
            <w:r>
              <w:rPr>
                <w:rFonts w:hint="eastAsia" w:ascii="宋体" w:hAnsi="宋体" w:cs="宋体"/>
                <w:kern w:val="0"/>
                <w:szCs w:val="21"/>
              </w:rPr>
              <w:t>沂源县政府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shd w:val="clear" w:color="auto" w:fill="auto"/>
            <w:vAlign w:val="center"/>
          </w:tcPr>
          <w:p>
            <w:pPr>
              <w:adjustRightInd w:val="0"/>
              <w:snapToGrid w:val="0"/>
              <w:jc w:val="center"/>
              <w:rPr>
                <w:rFonts w:cs="Times New Roman"/>
                <w:color w:val="000000"/>
                <w:kern w:val="0"/>
              </w:rPr>
            </w:pPr>
            <w:r>
              <w:rPr>
                <w:rFonts w:cs="Times New Roman"/>
                <w:color w:val="000000"/>
                <w:kern w:val="0"/>
              </w:rPr>
              <w:t>工业炉窑清洁能源替代</w:t>
            </w:r>
          </w:p>
        </w:tc>
        <w:tc>
          <w:tcPr>
            <w:tcW w:w="1259" w:type="dxa"/>
            <w:shd w:val="clear" w:color="000000" w:fill="FFFFFF"/>
            <w:vAlign w:val="center"/>
          </w:tcPr>
          <w:p>
            <w:pPr>
              <w:adjustRightInd w:val="0"/>
              <w:snapToGrid w:val="0"/>
              <w:jc w:val="center"/>
              <w:rPr>
                <w:rFonts w:cs="Times New Roman"/>
                <w:kern w:val="0"/>
              </w:rPr>
            </w:pPr>
            <w:r>
              <w:rPr>
                <w:rFonts w:cs="Times New Roman"/>
                <w:kern w:val="0"/>
              </w:rPr>
              <w:t>工业炉窑清洁能源替代（清洁能源包括天然气、电、集中供热等）</w:t>
            </w:r>
          </w:p>
        </w:tc>
        <w:tc>
          <w:tcPr>
            <w:tcW w:w="1664" w:type="dxa"/>
            <w:shd w:val="clear" w:color="000000" w:fill="FFFFFF"/>
            <w:vAlign w:val="center"/>
          </w:tcPr>
          <w:p>
            <w:pPr>
              <w:adjustRightInd w:val="0"/>
              <w:snapToGrid w:val="0"/>
              <w:jc w:val="center"/>
              <w:rPr>
                <w:rFonts w:cs="Times New Roman"/>
                <w:kern w:val="0"/>
              </w:rPr>
            </w:pPr>
            <w:r>
              <w:rPr>
                <w:rFonts w:cs="Times New Roman"/>
                <w:kern w:val="0"/>
              </w:rPr>
              <w:t>2021年12月底前</w:t>
            </w:r>
          </w:p>
        </w:tc>
        <w:tc>
          <w:tcPr>
            <w:tcW w:w="8045" w:type="dxa"/>
            <w:shd w:val="clear" w:color="000000" w:fill="FFFFFF"/>
            <w:vAlign w:val="center"/>
          </w:tcPr>
          <w:p>
            <w:pPr>
              <w:adjustRightInd w:val="0"/>
              <w:snapToGrid w:val="0"/>
              <w:jc w:val="left"/>
              <w:rPr>
                <w:rFonts w:cs="Times New Roman"/>
                <w:kern w:val="0"/>
              </w:rPr>
            </w:pPr>
            <w:r>
              <w:rPr>
                <w:rFonts w:cs="Times New Roman"/>
                <w:kern w:val="0"/>
              </w:rPr>
              <w:t>完成日用玻璃行业3台煤气发生炉天然气替代，完成日用玻璃行业1台煤气发生炉电能替代。</w:t>
            </w:r>
          </w:p>
        </w:tc>
        <w:tc>
          <w:tcPr>
            <w:tcW w:w="1816" w:type="dxa"/>
            <w:shd w:val="clear" w:color="000000" w:fill="FFFFFF"/>
            <w:vAlign w:val="center"/>
          </w:tcPr>
          <w:p>
            <w:pPr>
              <w:adjustRightInd w:val="0"/>
              <w:snapToGrid w:val="0"/>
              <w:jc w:val="left"/>
              <w:rPr>
                <w:rFonts w:cs="Times New Roman"/>
                <w:kern w:val="0"/>
              </w:rPr>
            </w:pPr>
            <w:r>
              <w:rPr>
                <w:rFonts w:cs="Times New Roman"/>
                <w:kern w:val="0"/>
              </w:rPr>
              <w:t>市生态环境局、市发展改革委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vMerge w:val="restart"/>
            <w:vAlign w:val="center"/>
          </w:tcPr>
          <w:p>
            <w:pPr>
              <w:adjustRightInd w:val="0"/>
              <w:snapToGrid w:val="0"/>
              <w:jc w:val="center"/>
              <w:rPr>
                <w:rFonts w:cs="Times New Roman"/>
                <w:color w:val="000000"/>
                <w:kern w:val="0"/>
              </w:rPr>
            </w:pPr>
            <w:r>
              <w:rPr>
                <w:rFonts w:cs="Times New Roman"/>
                <w:color w:val="000000"/>
                <w:kern w:val="0"/>
              </w:rPr>
              <w:t>重点工业行业VOCs综合治理</w:t>
            </w:r>
          </w:p>
        </w:tc>
        <w:tc>
          <w:tcPr>
            <w:tcW w:w="1259" w:type="dxa"/>
            <w:vAlign w:val="center"/>
          </w:tcPr>
          <w:p>
            <w:pPr>
              <w:adjustRightInd w:val="0"/>
              <w:snapToGrid w:val="0"/>
              <w:jc w:val="center"/>
              <w:rPr>
                <w:rFonts w:cs="Times New Roman"/>
                <w:kern w:val="0"/>
              </w:rPr>
            </w:pPr>
            <w:r>
              <w:rPr>
                <w:rFonts w:cs="Times New Roman"/>
                <w:kern w:val="0"/>
              </w:rPr>
              <w:t>工业涂装/包装印刷等源头替代</w:t>
            </w:r>
          </w:p>
        </w:tc>
        <w:tc>
          <w:tcPr>
            <w:tcW w:w="1664" w:type="dxa"/>
            <w:vAlign w:val="center"/>
          </w:tcPr>
          <w:p>
            <w:pPr>
              <w:adjustRightInd w:val="0"/>
              <w:snapToGrid w:val="0"/>
              <w:jc w:val="center"/>
              <w:rPr>
                <w:rFonts w:cs="Times New Roman"/>
                <w:kern w:val="0"/>
              </w:rPr>
            </w:pPr>
            <w:r>
              <w:rPr>
                <w:rFonts w:cs="Times New Roman"/>
                <w:kern w:val="0"/>
              </w:rPr>
              <w:t>2021年12月底前</w:t>
            </w:r>
          </w:p>
        </w:tc>
        <w:tc>
          <w:tcPr>
            <w:tcW w:w="8045" w:type="dxa"/>
            <w:vAlign w:val="center"/>
          </w:tcPr>
          <w:p>
            <w:pPr>
              <w:adjustRightInd w:val="0"/>
              <w:snapToGrid w:val="0"/>
              <w:jc w:val="left"/>
              <w:rPr>
                <w:rFonts w:cs="Times New Roman"/>
                <w:kern w:val="0"/>
              </w:rPr>
            </w:pPr>
            <w:r>
              <w:rPr>
                <w:rFonts w:cs="Times New Roman"/>
                <w:kern w:val="0"/>
              </w:rPr>
              <w:t>在实现全过程源头替代609家企业的基础上，新增工业涂装15家、包装印刷13家企业完成源头替代。</w:t>
            </w:r>
          </w:p>
        </w:tc>
        <w:tc>
          <w:tcPr>
            <w:tcW w:w="1816" w:type="dxa"/>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vMerge w:val="continue"/>
            <w:vAlign w:val="center"/>
          </w:tcPr>
          <w:p>
            <w:pPr>
              <w:adjustRightInd w:val="0"/>
              <w:snapToGrid w:val="0"/>
              <w:jc w:val="center"/>
              <w:rPr>
                <w:rFonts w:cs="Times New Roman"/>
                <w:color w:val="000000"/>
                <w:kern w:val="0"/>
              </w:rPr>
            </w:pPr>
          </w:p>
        </w:tc>
        <w:tc>
          <w:tcPr>
            <w:tcW w:w="1259" w:type="dxa"/>
            <w:vAlign w:val="center"/>
          </w:tcPr>
          <w:p>
            <w:pPr>
              <w:adjustRightInd w:val="0"/>
              <w:snapToGrid w:val="0"/>
              <w:jc w:val="center"/>
              <w:rPr>
                <w:rFonts w:cs="Times New Roman"/>
                <w:kern w:val="0"/>
              </w:rPr>
            </w:pPr>
            <w:r>
              <w:rPr>
                <w:rFonts w:cs="Times New Roman"/>
                <w:kern w:val="0"/>
              </w:rPr>
              <w:t>VOCs产品质量监督检查</w:t>
            </w:r>
          </w:p>
        </w:tc>
        <w:tc>
          <w:tcPr>
            <w:tcW w:w="1664" w:type="dxa"/>
            <w:vAlign w:val="center"/>
          </w:tcPr>
          <w:p>
            <w:pPr>
              <w:adjustRightInd w:val="0"/>
              <w:snapToGrid w:val="0"/>
              <w:jc w:val="center"/>
              <w:rPr>
                <w:rFonts w:cs="Times New Roman"/>
                <w:kern w:val="0"/>
              </w:rPr>
            </w:pPr>
            <w:r>
              <w:rPr>
                <w:rFonts w:cs="Times New Roman"/>
                <w:kern w:val="0"/>
              </w:rPr>
              <w:t>2021年12月底前</w:t>
            </w:r>
          </w:p>
        </w:tc>
        <w:tc>
          <w:tcPr>
            <w:tcW w:w="8045" w:type="dxa"/>
            <w:vAlign w:val="center"/>
          </w:tcPr>
          <w:p>
            <w:pPr>
              <w:adjustRightInd w:val="0"/>
              <w:snapToGrid w:val="0"/>
              <w:jc w:val="left"/>
              <w:rPr>
                <w:rFonts w:cs="Times New Roman"/>
                <w:kern w:val="0"/>
              </w:rPr>
            </w:pPr>
            <w:r>
              <w:rPr>
                <w:rFonts w:cs="Times New Roman"/>
                <w:kern w:val="0"/>
              </w:rPr>
              <w:t>加强VOCs产品质量监督检查，抽查生产销售企业涂料55批次、油墨5批次、胶粘剂10批次、清洗剂1批次，对其VOCs含量限值进行抽查。</w:t>
            </w:r>
          </w:p>
        </w:tc>
        <w:tc>
          <w:tcPr>
            <w:tcW w:w="1816" w:type="dxa"/>
            <w:vAlign w:val="center"/>
          </w:tcPr>
          <w:p>
            <w:pPr>
              <w:adjustRightInd w:val="0"/>
              <w:snapToGrid w:val="0"/>
              <w:jc w:val="left"/>
              <w:rPr>
                <w:rFonts w:hint="eastAsia" w:eastAsia="宋体" w:cs="Times New Roman"/>
                <w:kern w:val="0"/>
                <w:lang w:eastAsia="zh-CN"/>
              </w:rPr>
            </w:pPr>
            <w:r>
              <w:rPr>
                <w:rFonts w:hint="eastAsia" w:cs="Times New Roman"/>
                <w:kern w:val="0"/>
                <w:lang w:eastAsia="zh-CN"/>
              </w:rPr>
              <w:t>市市场监管局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vMerge w:val="continue"/>
            <w:vAlign w:val="center"/>
          </w:tcPr>
          <w:p>
            <w:pPr>
              <w:adjustRightInd w:val="0"/>
              <w:snapToGrid w:val="0"/>
              <w:jc w:val="left"/>
              <w:rPr>
                <w:rFonts w:cs="Times New Roman"/>
                <w:color w:val="000000"/>
                <w:kern w:val="0"/>
              </w:rPr>
            </w:pPr>
          </w:p>
        </w:tc>
        <w:tc>
          <w:tcPr>
            <w:tcW w:w="1259" w:type="dxa"/>
            <w:vAlign w:val="center"/>
          </w:tcPr>
          <w:p>
            <w:pPr>
              <w:adjustRightInd w:val="0"/>
              <w:snapToGrid w:val="0"/>
              <w:jc w:val="center"/>
              <w:rPr>
                <w:rFonts w:cs="Times New Roman"/>
                <w:kern w:val="0"/>
              </w:rPr>
            </w:pPr>
            <w:r>
              <w:rPr>
                <w:rFonts w:cs="Times New Roman"/>
                <w:kern w:val="0"/>
              </w:rPr>
              <w:t>无组织排放控制</w:t>
            </w:r>
          </w:p>
        </w:tc>
        <w:tc>
          <w:tcPr>
            <w:tcW w:w="1664" w:type="dxa"/>
            <w:vAlign w:val="center"/>
          </w:tcPr>
          <w:p>
            <w:pPr>
              <w:adjustRightInd w:val="0"/>
              <w:snapToGrid w:val="0"/>
              <w:jc w:val="center"/>
              <w:rPr>
                <w:rFonts w:cs="Times New Roman"/>
                <w:kern w:val="0"/>
              </w:rPr>
            </w:pPr>
            <w:r>
              <w:rPr>
                <w:rFonts w:cs="Times New Roman"/>
                <w:kern w:val="0"/>
              </w:rPr>
              <w:t>2021年12月底前</w:t>
            </w:r>
          </w:p>
        </w:tc>
        <w:tc>
          <w:tcPr>
            <w:tcW w:w="8045" w:type="dxa"/>
            <w:vAlign w:val="center"/>
          </w:tcPr>
          <w:p>
            <w:pPr>
              <w:adjustRightInd w:val="0"/>
              <w:snapToGrid w:val="0"/>
              <w:jc w:val="left"/>
              <w:rPr>
                <w:rFonts w:cs="Times New Roman"/>
                <w:kern w:val="0"/>
              </w:rPr>
            </w:pPr>
            <w:r>
              <w:rPr>
                <w:rFonts w:cs="Times New Roman"/>
                <w:kern w:val="0"/>
              </w:rPr>
              <w:t>3家石化企业、25家化工企业、7家工业涂装企业、38家包装印刷企业、57家铸造企业、17家塑料加工企业、1家家具制造企业、2家造纸企业等通过采取设备与场所密闭、工艺改进、废气有效收集等措施，2家企业敞开液面采用废气有效收集措施，完成VOCs无组织排放治理。</w:t>
            </w:r>
          </w:p>
        </w:tc>
        <w:tc>
          <w:tcPr>
            <w:tcW w:w="1816" w:type="dxa"/>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vMerge w:val="continue"/>
            <w:vAlign w:val="center"/>
          </w:tcPr>
          <w:p>
            <w:pPr>
              <w:adjustRightInd w:val="0"/>
              <w:snapToGrid w:val="0"/>
              <w:jc w:val="left"/>
              <w:rPr>
                <w:rFonts w:cs="Times New Roman"/>
                <w:color w:val="000000"/>
                <w:kern w:val="0"/>
              </w:rPr>
            </w:pPr>
          </w:p>
        </w:tc>
        <w:tc>
          <w:tcPr>
            <w:tcW w:w="1259" w:type="dxa"/>
            <w:vMerge w:val="restart"/>
            <w:vAlign w:val="center"/>
          </w:tcPr>
          <w:p>
            <w:pPr>
              <w:adjustRightInd w:val="0"/>
              <w:snapToGrid w:val="0"/>
              <w:jc w:val="center"/>
              <w:rPr>
                <w:rFonts w:cs="Times New Roman"/>
                <w:kern w:val="0"/>
              </w:rPr>
            </w:pPr>
            <w:r>
              <w:rPr>
                <w:rFonts w:cs="Times New Roman"/>
                <w:kern w:val="0"/>
              </w:rPr>
              <w:t>治污设施建设</w:t>
            </w:r>
          </w:p>
        </w:tc>
        <w:tc>
          <w:tcPr>
            <w:tcW w:w="1664" w:type="dxa"/>
            <w:vAlign w:val="center"/>
          </w:tcPr>
          <w:p>
            <w:pPr>
              <w:adjustRightInd w:val="0"/>
              <w:snapToGrid w:val="0"/>
              <w:jc w:val="center"/>
              <w:rPr>
                <w:rFonts w:cs="Times New Roman"/>
                <w:kern w:val="0"/>
              </w:rPr>
            </w:pPr>
            <w:r>
              <w:rPr>
                <w:rFonts w:cs="Times New Roman"/>
                <w:kern w:val="0"/>
              </w:rPr>
              <w:t>2021年12月底前</w:t>
            </w:r>
          </w:p>
        </w:tc>
        <w:tc>
          <w:tcPr>
            <w:tcW w:w="8045" w:type="dxa"/>
            <w:vAlign w:val="center"/>
          </w:tcPr>
          <w:p>
            <w:pPr>
              <w:adjustRightInd w:val="0"/>
              <w:snapToGrid w:val="0"/>
              <w:jc w:val="left"/>
              <w:rPr>
                <w:rFonts w:cs="Times New Roman"/>
                <w:kern w:val="0"/>
              </w:rPr>
            </w:pPr>
            <w:r>
              <w:rPr>
                <w:rFonts w:cs="Times New Roman"/>
                <w:kern w:val="0"/>
              </w:rPr>
              <w:t>石化企业2家，化工企业10家，28家工业涂装企业、38家包装印刷企业、1家铸造企业、14家塑料制品制造企业、1家橡胶制品制造企业、2家涂料制造企业、6家人造板制造企业、8家家具制造企业、1家PVC手套企业、12家其他行业企业等建设或改造为适宜高效的治污设施。</w:t>
            </w:r>
          </w:p>
        </w:tc>
        <w:tc>
          <w:tcPr>
            <w:tcW w:w="1816" w:type="dxa"/>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vMerge w:val="continue"/>
            <w:vAlign w:val="center"/>
          </w:tcPr>
          <w:p>
            <w:pPr>
              <w:adjustRightInd w:val="0"/>
              <w:snapToGrid w:val="0"/>
              <w:jc w:val="left"/>
              <w:rPr>
                <w:rFonts w:cs="Times New Roman"/>
                <w:color w:val="000000"/>
                <w:kern w:val="0"/>
              </w:rPr>
            </w:pPr>
          </w:p>
        </w:tc>
        <w:tc>
          <w:tcPr>
            <w:tcW w:w="1259" w:type="dxa"/>
            <w:vMerge w:val="continue"/>
            <w:vAlign w:val="center"/>
          </w:tcPr>
          <w:p>
            <w:pPr>
              <w:adjustRightInd w:val="0"/>
              <w:snapToGrid w:val="0"/>
              <w:jc w:val="center"/>
              <w:rPr>
                <w:rFonts w:cs="Times New Roman"/>
                <w:kern w:val="0"/>
              </w:rPr>
            </w:pPr>
          </w:p>
        </w:tc>
        <w:tc>
          <w:tcPr>
            <w:tcW w:w="1664" w:type="dxa"/>
            <w:vAlign w:val="center"/>
          </w:tcPr>
          <w:p>
            <w:pPr>
              <w:adjustRightInd w:val="0"/>
              <w:snapToGrid w:val="0"/>
              <w:jc w:val="center"/>
              <w:rPr>
                <w:rFonts w:cs="Times New Roman"/>
                <w:kern w:val="0"/>
              </w:rPr>
            </w:pPr>
            <w:r>
              <w:rPr>
                <w:rFonts w:cs="Times New Roman"/>
                <w:kern w:val="0"/>
              </w:rPr>
              <w:t>2022年3月底前</w:t>
            </w:r>
          </w:p>
        </w:tc>
        <w:tc>
          <w:tcPr>
            <w:tcW w:w="8045" w:type="dxa"/>
            <w:vAlign w:val="center"/>
          </w:tcPr>
          <w:p>
            <w:pPr>
              <w:adjustRightInd w:val="0"/>
              <w:snapToGrid w:val="0"/>
              <w:jc w:val="left"/>
              <w:rPr>
                <w:rFonts w:cs="Times New Roman"/>
                <w:kern w:val="0"/>
              </w:rPr>
            </w:pPr>
            <w:r>
              <w:rPr>
                <w:rFonts w:cs="Times New Roman"/>
              </w:rPr>
              <w:t>2家化工行业企业、1家工业涂装企业、1家农药制造企业、1家橡胶制品制造企业、1家物流仓储企业等建设或改造为适宜高效的治污设施。</w:t>
            </w:r>
          </w:p>
        </w:tc>
        <w:tc>
          <w:tcPr>
            <w:tcW w:w="1816" w:type="dxa"/>
            <w:vAlign w:val="center"/>
          </w:tcPr>
          <w:p>
            <w:pPr>
              <w:adjustRightInd w:val="0"/>
              <w:snapToGrid w:val="0"/>
              <w:jc w:val="left"/>
              <w:rPr>
                <w:rFonts w:cs="Times New Roman"/>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vMerge w:val="continue"/>
            <w:vAlign w:val="center"/>
          </w:tcPr>
          <w:p>
            <w:pPr>
              <w:adjustRightInd w:val="0"/>
              <w:snapToGrid w:val="0"/>
              <w:jc w:val="left"/>
              <w:rPr>
                <w:rFonts w:cs="Times New Roman"/>
                <w:color w:val="000000"/>
                <w:kern w:val="0"/>
              </w:rPr>
            </w:pPr>
          </w:p>
        </w:tc>
        <w:tc>
          <w:tcPr>
            <w:tcW w:w="1259" w:type="dxa"/>
            <w:vMerge w:val="restart"/>
            <w:vAlign w:val="center"/>
          </w:tcPr>
          <w:p>
            <w:pPr>
              <w:adjustRightInd w:val="0"/>
              <w:snapToGrid w:val="0"/>
              <w:jc w:val="center"/>
              <w:rPr>
                <w:rFonts w:cs="Times New Roman"/>
                <w:kern w:val="0"/>
              </w:rPr>
            </w:pPr>
            <w:r>
              <w:rPr>
                <w:rFonts w:cs="Times New Roman"/>
                <w:kern w:val="0"/>
              </w:rPr>
              <w:t>储罐/装载废气综合治理</w:t>
            </w:r>
          </w:p>
        </w:tc>
        <w:tc>
          <w:tcPr>
            <w:tcW w:w="1664" w:type="dxa"/>
            <w:vAlign w:val="center"/>
          </w:tcPr>
          <w:p>
            <w:pPr>
              <w:adjustRightInd w:val="0"/>
              <w:snapToGrid w:val="0"/>
              <w:jc w:val="center"/>
              <w:rPr>
                <w:rFonts w:cs="Times New Roman"/>
                <w:kern w:val="0"/>
              </w:rPr>
            </w:pPr>
            <w:r>
              <w:rPr>
                <w:rFonts w:cs="Times New Roman"/>
                <w:kern w:val="0"/>
              </w:rPr>
              <w:t>2021年12月底前</w:t>
            </w:r>
          </w:p>
        </w:tc>
        <w:tc>
          <w:tcPr>
            <w:tcW w:w="8045" w:type="dxa"/>
            <w:vAlign w:val="center"/>
          </w:tcPr>
          <w:p>
            <w:pPr>
              <w:adjustRightInd w:val="0"/>
              <w:snapToGrid w:val="0"/>
              <w:jc w:val="left"/>
              <w:rPr>
                <w:rFonts w:cs="Times New Roman"/>
                <w:kern w:val="0"/>
              </w:rPr>
            </w:pPr>
            <w:r>
              <w:rPr>
                <w:rFonts w:cs="Times New Roman"/>
                <w:kern w:val="0"/>
              </w:rPr>
              <w:t>完成198个储罐废气回收治理，6个罐车底部装载设施改造，6个底部装载自封式快速接头改造。</w:t>
            </w:r>
          </w:p>
        </w:tc>
        <w:tc>
          <w:tcPr>
            <w:tcW w:w="1816" w:type="dxa"/>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vMerge w:val="continue"/>
            <w:vAlign w:val="center"/>
          </w:tcPr>
          <w:p>
            <w:pPr>
              <w:adjustRightInd w:val="0"/>
              <w:snapToGrid w:val="0"/>
              <w:jc w:val="left"/>
              <w:rPr>
                <w:rFonts w:cs="Times New Roman"/>
                <w:color w:val="000000"/>
                <w:kern w:val="0"/>
              </w:rPr>
            </w:pPr>
          </w:p>
        </w:tc>
        <w:tc>
          <w:tcPr>
            <w:tcW w:w="1259" w:type="dxa"/>
            <w:vMerge w:val="continue"/>
            <w:vAlign w:val="center"/>
          </w:tcPr>
          <w:p>
            <w:pPr>
              <w:adjustRightInd w:val="0"/>
              <w:snapToGrid w:val="0"/>
              <w:jc w:val="center"/>
              <w:rPr>
                <w:rFonts w:cs="Times New Roman"/>
                <w:kern w:val="0"/>
              </w:rPr>
            </w:pPr>
          </w:p>
        </w:tc>
        <w:tc>
          <w:tcPr>
            <w:tcW w:w="1664" w:type="dxa"/>
            <w:vAlign w:val="center"/>
          </w:tcPr>
          <w:p>
            <w:pPr>
              <w:adjustRightInd w:val="0"/>
              <w:snapToGrid w:val="0"/>
              <w:jc w:val="center"/>
              <w:rPr>
                <w:rFonts w:cs="Times New Roman"/>
                <w:kern w:val="0"/>
              </w:rPr>
            </w:pPr>
            <w:r>
              <w:rPr>
                <w:rFonts w:cs="Times New Roman"/>
                <w:kern w:val="0"/>
              </w:rPr>
              <w:t>2022年3月底前</w:t>
            </w:r>
          </w:p>
        </w:tc>
        <w:tc>
          <w:tcPr>
            <w:tcW w:w="8045" w:type="dxa"/>
            <w:vAlign w:val="center"/>
          </w:tcPr>
          <w:p>
            <w:pPr>
              <w:adjustRightInd w:val="0"/>
              <w:snapToGrid w:val="0"/>
              <w:jc w:val="left"/>
              <w:rPr>
                <w:rFonts w:cs="Times New Roman"/>
                <w:kern w:val="0"/>
              </w:rPr>
            </w:pPr>
            <w:r>
              <w:rPr>
                <w:rFonts w:cs="Times New Roman"/>
              </w:rPr>
              <w:t>完成13个储罐废气回收治理，1个罐车底部装载设施改造。</w:t>
            </w:r>
          </w:p>
        </w:tc>
        <w:tc>
          <w:tcPr>
            <w:tcW w:w="1816" w:type="dxa"/>
            <w:vAlign w:val="center"/>
          </w:tcPr>
          <w:p>
            <w:pPr>
              <w:adjustRightInd w:val="0"/>
              <w:snapToGrid w:val="0"/>
              <w:jc w:val="left"/>
              <w:rPr>
                <w:rFonts w:cs="Times New Roman"/>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vMerge w:val="continue"/>
            <w:vAlign w:val="center"/>
          </w:tcPr>
          <w:p>
            <w:pPr>
              <w:adjustRightInd w:val="0"/>
              <w:snapToGrid w:val="0"/>
              <w:jc w:val="left"/>
              <w:rPr>
                <w:rFonts w:cs="Times New Roman"/>
                <w:color w:val="000000"/>
                <w:kern w:val="0"/>
              </w:rPr>
            </w:pPr>
          </w:p>
        </w:tc>
        <w:tc>
          <w:tcPr>
            <w:tcW w:w="1259" w:type="dxa"/>
            <w:vAlign w:val="center"/>
          </w:tcPr>
          <w:p>
            <w:pPr>
              <w:adjustRightInd w:val="0"/>
              <w:snapToGrid w:val="0"/>
              <w:jc w:val="center"/>
              <w:rPr>
                <w:rFonts w:cs="Times New Roman"/>
                <w:kern w:val="0"/>
              </w:rPr>
            </w:pPr>
            <w:r>
              <w:rPr>
                <w:rFonts w:cs="Times New Roman"/>
                <w:kern w:val="0"/>
              </w:rPr>
              <w:t>LDAR工作抽检</w:t>
            </w:r>
          </w:p>
        </w:tc>
        <w:tc>
          <w:tcPr>
            <w:tcW w:w="1664" w:type="dxa"/>
            <w:vAlign w:val="center"/>
          </w:tcPr>
          <w:p>
            <w:pPr>
              <w:adjustRightInd w:val="0"/>
              <w:snapToGrid w:val="0"/>
              <w:jc w:val="center"/>
              <w:rPr>
                <w:rFonts w:cs="Times New Roman"/>
                <w:kern w:val="0"/>
              </w:rPr>
            </w:pPr>
            <w:r>
              <w:rPr>
                <w:rFonts w:cs="Times New Roman"/>
                <w:kern w:val="0"/>
              </w:rPr>
              <w:t>2021年12月底前</w:t>
            </w:r>
          </w:p>
        </w:tc>
        <w:tc>
          <w:tcPr>
            <w:tcW w:w="8045" w:type="dxa"/>
            <w:vAlign w:val="center"/>
          </w:tcPr>
          <w:p>
            <w:pPr>
              <w:adjustRightInd w:val="0"/>
              <w:snapToGrid w:val="0"/>
              <w:jc w:val="left"/>
              <w:rPr>
                <w:rFonts w:cs="Times New Roman"/>
                <w:kern w:val="0"/>
              </w:rPr>
            </w:pPr>
            <w:r>
              <w:rPr>
                <w:rFonts w:cs="Times New Roman"/>
                <w:kern w:val="0"/>
              </w:rPr>
              <w:t xml:space="preserve">对82家企业LDAR工作开展情况进行抽测和检查。组织184家企业开展LDAR自检。 </w:t>
            </w:r>
          </w:p>
        </w:tc>
        <w:tc>
          <w:tcPr>
            <w:tcW w:w="1816" w:type="dxa"/>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vAlign w:val="center"/>
          </w:tcPr>
          <w:p>
            <w:pPr>
              <w:adjustRightInd w:val="0"/>
              <w:snapToGrid w:val="0"/>
              <w:jc w:val="center"/>
              <w:rPr>
                <w:rFonts w:cs="Times New Roman"/>
                <w:color w:val="000000"/>
                <w:kern w:val="0"/>
              </w:rPr>
            </w:pPr>
            <w:r>
              <w:rPr>
                <w:rFonts w:cs="Times New Roman"/>
                <w:color w:val="000000"/>
                <w:kern w:val="0"/>
              </w:rPr>
              <w:t>工业园区和企业集群VOCs综合治理</w:t>
            </w:r>
          </w:p>
        </w:tc>
        <w:tc>
          <w:tcPr>
            <w:tcW w:w="1259" w:type="dxa"/>
            <w:vAlign w:val="center"/>
          </w:tcPr>
          <w:p>
            <w:pPr>
              <w:adjustRightInd w:val="0"/>
              <w:snapToGrid w:val="0"/>
              <w:jc w:val="center"/>
              <w:rPr>
                <w:rFonts w:cs="Times New Roman"/>
                <w:kern w:val="0"/>
              </w:rPr>
            </w:pPr>
            <w:r>
              <w:rPr>
                <w:rFonts w:cs="Times New Roman"/>
                <w:kern w:val="0"/>
              </w:rPr>
              <w:t>集中治理</w:t>
            </w:r>
          </w:p>
        </w:tc>
        <w:tc>
          <w:tcPr>
            <w:tcW w:w="1664" w:type="dxa"/>
            <w:vAlign w:val="center"/>
          </w:tcPr>
          <w:p>
            <w:pPr>
              <w:adjustRightInd w:val="0"/>
              <w:snapToGrid w:val="0"/>
              <w:jc w:val="center"/>
              <w:rPr>
                <w:rFonts w:cs="Times New Roman"/>
                <w:kern w:val="0"/>
              </w:rPr>
            </w:pPr>
            <w:r>
              <w:rPr>
                <w:rFonts w:cs="Times New Roman"/>
                <w:kern w:val="0"/>
              </w:rPr>
              <w:t>2021年12月底前</w:t>
            </w:r>
          </w:p>
        </w:tc>
        <w:tc>
          <w:tcPr>
            <w:tcW w:w="8045" w:type="dxa"/>
            <w:vAlign w:val="center"/>
          </w:tcPr>
          <w:p>
            <w:pPr>
              <w:adjustRightInd w:val="0"/>
              <w:snapToGrid w:val="0"/>
              <w:jc w:val="left"/>
              <w:rPr>
                <w:rFonts w:cs="Times New Roman"/>
                <w:kern w:val="0"/>
              </w:rPr>
            </w:pPr>
            <w:r>
              <w:rPr>
                <w:rFonts w:cs="Times New Roman"/>
                <w:kern w:val="0"/>
              </w:rPr>
              <w:t>东岳氟硅产业园、马桥化工产业园等2个石化、化工类工业园区，建设监测预警监控体系，开展溯源分析；高青县</w:t>
            </w:r>
            <w:r>
              <w:rPr>
                <w:rFonts w:cs="Times New Roman"/>
                <w:bCs/>
                <w:kern w:val="0"/>
              </w:rPr>
              <w:t>化工产业园、经开区等2个</w:t>
            </w:r>
            <w:r>
              <w:rPr>
                <w:rFonts w:cs="Times New Roman"/>
                <w:kern w:val="0"/>
              </w:rPr>
              <w:t>工业园区</w:t>
            </w:r>
            <w:r>
              <w:rPr>
                <w:rFonts w:cs="Times New Roman"/>
                <w:bCs/>
                <w:kern w:val="0"/>
              </w:rPr>
              <w:t>推行泄漏检测统一监管，加大VOCs走航力度，开展溯源分析。</w:t>
            </w:r>
          </w:p>
          <w:p>
            <w:pPr>
              <w:adjustRightInd w:val="0"/>
              <w:snapToGrid w:val="0"/>
              <w:jc w:val="left"/>
              <w:rPr>
                <w:rFonts w:cs="Times New Roman"/>
                <w:kern w:val="0"/>
              </w:rPr>
            </w:pPr>
            <w:r>
              <w:rPr>
                <w:rFonts w:cs="Times New Roman"/>
                <w:kern w:val="0"/>
              </w:rPr>
              <w:t>四宝山南坡企业集中区实施恶臭电子鼻监控预警，安装恶臭电子鼻系统15套。</w:t>
            </w:r>
          </w:p>
        </w:tc>
        <w:tc>
          <w:tcPr>
            <w:tcW w:w="1816" w:type="dxa"/>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000000" w:fill="FFFFFF"/>
            <w:vAlign w:val="center"/>
          </w:tcPr>
          <w:p>
            <w:pPr>
              <w:adjustRightInd w:val="0"/>
              <w:snapToGrid w:val="0"/>
              <w:jc w:val="center"/>
              <w:rPr>
                <w:rFonts w:cs="Times New Roman"/>
                <w:color w:val="000000"/>
                <w:kern w:val="0"/>
              </w:rPr>
            </w:pPr>
          </w:p>
        </w:tc>
        <w:tc>
          <w:tcPr>
            <w:tcW w:w="907"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VOCs监测监控</w:t>
            </w:r>
          </w:p>
        </w:tc>
        <w:tc>
          <w:tcPr>
            <w:tcW w:w="1259"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自动监控设施安装</w:t>
            </w:r>
          </w:p>
        </w:tc>
        <w:tc>
          <w:tcPr>
            <w:tcW w:w="1664"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7家化工企业、1家工业涂装企业、1家塑料制品企业主要排污口安装非甲烷总烃自动监控设施共13套。</w:t>
            </w:r>
          </w:p>
        </w:tc>
        <w:tc>
          <w:tcPr>
            <w:tcW w:w="1816"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restart"/>
            <w:vAlign w:val="center"/>
          </w:tcPr>
          <w:p>
            <w:pPr>
              <w:adjustRightInd w:val="0"/>
              <w:snapToGrid w:val="0"/>
              <w:jc w:val="center"/>
              <w:rPr>
                <w:rFonts w:cs="Times New Roman"/>
                <w:color w:val="000000"/>
                <w:kern w:val="0"/>
              </w:rPr>
            </w:pPr>
            <w:r>
              <w:rPr>
                <w:rFonts w:cs="Times New Roman"/>
                <w:color w:val="000000"/>
                <w:kern w:val="0"/>
              </w:rPr>
              <w:t>能源结构调整</w:t>
            </w:r>
          </w:p>
        </w:tc>
        <w:tc>
          <w:tcPr>
            <w:tcW w:w="907" w:type="dxa"/>
            <w:vMerge w:val="restart"/>
            <w:vAlign w:val="center"/>
          </w:tcPr>
          <w:p>
            <w:pPr>
              <w:adjustRightInd w:val="0"/>
              <w:snapToGrid w:val="0"/>
              <w:jc w:val="center"/>
              <w:rPr>
                <w:rFonts w:cs="Times New Roman"/>
                <w:color w:val="000000"/>
                <w:kern w:val="0"/>
              </w:rPr>
            </w:pPr>
            <w:r>
              <w:rPr>
                <w:rFonts w:cs="Times New Roman"/>
                <w:color w:val="000000"/>
                <w:kern w:val="0"/>
              </w:rPr>
              <w:t>清洁取暖</w:t>
            </w:r>
          </w:p>
        </w:tc>
        <w:tc>
          <w:tcPr>
            <w:tcW w:w="1259" w:type="dxa"/>
            <w:vMerge w:val="restart"/>
            <w:vAlign w:val="center"/>
          </w:tcPr>
          <w:p>
            <w:pPr>
              <w:adjustRightInd w:val="0"/>
              <w:snapToGrid w:val="0"/>
              <w:jc w:val="center"/>
              <w:rPr>
                <w:rFonts w:cs="Times New Roman"/>
                <w:color w:val="000000"/>
                <w:kern w:val="0"/>
              </w:rPr>
            </w:pPr>
            <w:r>
              <w:rPr>
                <w:rFonts w:cs="Times New Roman"/>
                <w:color w:val="000000"/>
                <w:kern w:val="0"/>
              </w:rPr>
              <w:t>散煤治理</w:t>
            </w:r>
          </w:p>
        </w:tc>
        <w:tc>
          <w:tcPr>
            <w:tcW w:w="1664" w:type="dxa"/>
            <w:vAlign w:val="center"/>
          </w:tcPr>
          <w:p>
            <w:pPr>
              <w:adjustRightInd w:val="0"/>
              <w:snapToGrid w:val="0"/>
              <w:jc w:val="center"/>
              <w:rPr>
                <w:rFonts w:cs="Times New Roman"/>
                <w:color w:val="000000"/>
                <w:kern w:val="0"/>
              </w:rPr>
            </w:pPr>
            <w:r>
              <w:rPr>
                <w:rFonts w:cs="Times New Roman"/>
                <w:color w:val="000000"/>
                <w:kern w:val="0"/>
              </w:rPr>
              <w:t>2021年10月底前</w:t>
            </w:r>
          </w:p>
        </w:tc>
        <w:tc>
          <w:tcPr>
            <w:tcW w:w="8045" w:type="dxa"/>
            <w:vAlign w:val="center"/>
          </w:tcPr>
          <w:p>
            <w:pPr>
              <w:adjustRightInd w:val="0"/>
              <w:snapToGrid w:val="0"/>
              <w:jc w:val="left"/>
              <w:rPr>
                <w:rFonts w:cs="Times New Roman"/>
                <w:color w:val="000000"/>
                <w:kern w:val="0"/>
              </w:rPr>
            </w:pPr>
            <w:r>
              <w:rPr>
                <w:rFonts w:cs="Times New Roman"/>
                <w:color w:val="000000"/>
                <w:kern w:val="0"/>
              </w:rPr>
              <w:t>完成农村地区清洁取暖15675户改造任务，其中煤改气11666户，煤改电2000户，集中供暖2009户。</w:t>
            </w:r>
          </w:p>
        </w:tc>
        <w:tc>
          <w:tcPr>
            <w:tcW w:w="1816" w:type="dxa"/>
            <w:vAlign w:val="center"/>
          </w:tcPr>
          <w:p>
            <w:pPr>
              <w:adjustRightInd w:val="0"/>
              <w:snapToGrid w:val="0"/>
              <w:jc w:val="left"/>
              <w:rPr>
                <w:rFonts w:cs="Times New Roman"/>
                <w:color w:val="000000"/>
                <w:kern w:val="0"/>
              </w:rPr>
            </w:pPr>
            <w:r>
              <w:rPr>
                <w:rFonts w:cs="Times New Roman"/>
                <w:color w:val="000000"/>
                <w:kern w:val="0"/>
              </w:rPr>
              <w:t>市住房城乡建设局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vAlign w:val="center"/>
          </w:tcPr>
          <w:p>
            <w:pPr>
              <w:adjustRightInd w:val="0"/>
              <w:snapToGrid w:val="0"/>
              <w:jc w:val="center"/>
              <w:rPr>
                <w:rFonts w:cs="Times New Roman"/>
                <w:color w:val="000000"/>
                <w:kern w:val="0"/>
              </w:rPr>
            </w:pPr>
          </w:p>
        </w:tc>
        <w:tc>
          <w:tcPr>
            <w:tcW w:w="907" w:type="dxa"/>
            <w:vMerge w:val="continue"/>
            <w:vAlign w:val="center"/>
          </w:tcPr>
          <w:p>
            <w:pPr>
              <w:adjustRightInd w:val="0"/>
              <w:snapToGrid w:val="0"/>
              <w:jc w:val="center"/>
              <w:rPr>
                <w:rFonts w:cs="Times New Roman"/>
                <w:color w:val="000000"/>
                <w:kern w:val="0"/>
              </w:rPr>
            </w:pPr>
          </w:p>
        </w:tc>
        <w:tc>
          <w:tcPr>
            <w:tcW w:w="1259" w:type="dxa"/>
            <w:vMerge w:val="continue"/>
            <w:vAlign w:val="center"/>
          </w:tcPr>
          <w:p>
            <w:pPr>
              <w:adjustRightInd w:val="0"/>
              <w:snapToGrid w:val="0"/>
              <w:jc w:val="center"/>
              <w:rPr>
                <w:rFonts w:cs="Times New Roman"/>
                <w:color w:val="000000"/>
                <w:kern w:val="0"/>
              </w:rPr>
            </w:pPr>
          </w:p>
        </w:tc>
        <w:tc>
          <w:tcPr>
            <w:tcW w:w="1664" w:type="dxa"/>
            <w:vAlign w:val="center"/>
          </w:tcPr>
          <w:p>
            <w:pPr>
              <w:adjustRightInd w:val="0"/>
              <w:snapToGrid w:val="0"/>
              <w:jc w:val="center"/>
              <w:rPr>
                <w:rFonts w:hint="eastAsia" w:eastAsia="宋体" w:cs="Times New Roman"/>
                <w:color w:val="000000"/>
                <w:kern w:val="0"/>
                <w:lang w:val="en-US" w:eastAsia="zh-CN"/>
              </w:rPr>
            </w:pPr>
            <w:r>
              <w:rPr>
                <w:rFonts w:cs="Times New Roman"/>
                <w:color w:val="000000"/>
                <w:kern w:val="0"/>
              </w:rPr>
              <w:t>2021年12月底</w:t>
            </w:r>
            <w:r>
              <w:rPr>
                <w:rFonts w:hint="eastAsia" w:cs="Times New Roman"/>
                <w:color w:val="000000"/>
                <w:kern w:val="0"/>
                <w:lang w:val="en-US" w:eastAsia="zh-CN"/>
              </w:rPr>
              <w:t>前</w:t>
            </w:r>
          </w:p>
        </w:tc>
        <w:tc>
          <w:tcPr>
            <w:tcW w:w="8045" w:type="dxa"/>
            <w:vAlign w:val="center"/>
          </w:tcPr>
          <w:p>
            <w:pPr>
              <w:adjustRightInd w:val="0"/>
              <w:snapToGrid w:val="0"/>
              <w:jc w:val="left"/>
              <w:rPr>
                <w:rFonts w:cs="Times New Roman"/>
                <w:color w:val="000000"/>
                <w:kern w:val="0"/>
              </w:rPr>
            </w:pPr>
            <w:r>
              <w:rPr>
                <w:rFonts w:cs="Times New Roman"/>
                <w:color w:val="000000"/>
                <w:kern w:val="0"/>
              </w:rPr>
              <w:t>推广清洁煤炭5万吨（替代用户劣质煤）。</w:t>
            </w:r>
          </w:p>
        </w:tc>
        <w:tc>
          <w:tcPr>
            <w:tcW w:w="1816" w:type="dxa"/>
            <w:vAlign w:val="center"/>
          </w:tcPr>
          <w:p>
            <w:pPr>
              <w:adjustRightInd w:val="0"/>
              <w:snapToGrid w:val="0"/>
              <w:jc w:val="left"/>
              <w:rPr>
                <w:rFonts w:cs="Times New Roman"/>
                <w:color w:val="000000"/>
                <w:kern w:val="0"/>
              </w:rPr>
            </w:pPr>
            <w:r>
              <w:rPr>
                <w:rFonts w:cs="Times New Roman"/>
                <w:color w:val="000000"/>
                <w:kern w:val="0"/>
              </w:rPr>
              <w:t>市发展改革委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restart"/>
            <w:shd w:val="clear" w:color="000000" w:fill="FFFFFF"/>
            <w:vAlign w:val="center"/>
          </w:tcPr>
          <w:p>
            <w:pPr>
              <w:adjustRightInd w:val="0"/>
              <w:snapToGrid w:val="0"/>
              <w:jc w:val="center"/>
              <w:rPr>
                <w:rFonts w:cs="Times New Roman"/>
                <w:color w:val="000000"/>
                <w:kern w:val="0"/>
              </w:rPr>
            </w:pPr>
            <w:r>
              <w:rPr>
                <w:rFonts w:cs="Times New Roman"/>
                <w:color w:val="000000"/>
                <w:kern w:val="0"/>
              </w:rPr>
              <w:t>煤炭消费总量</w:t>
            </w:r>
          </w:p>
          <w:p>
            <w:pPr>
              <w:adjustRightInd w:val="0"/>
              <w:snapToGrid w:val="0"/>
              <w:jc w:val="center"/>
              <w:rPr>
                <w:rFonts w:cs="Times New Roman"/>
                <w:color w:val="000000"/>
                <w:kern w:val="0"/>
              </w:rPr>
            </w:pPr>
            <w:r>
              <w:rPr>
                <w:rFonts w:cs="Times New Roman"/>
                <w:color w:val="000000"/>
                <w:kern w:val="0"/>
              </w:rPr>
              <w:t>控制</w:t>
            </w:r>
          </w:p>
        </w:tc>
        <w:tc>
          <w:tcPr>
            <w:tcW w:w="1259"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煤炭消费总量控制</w:t>
            </w:r>
          </w:p>
        </w:tc>
        <w:tc>
          <w:tcPr>
            <w:tcW w:w="1664"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压减煤炭消费总量50万吨（当量值）。</w:t>
            </w:r>
          </w:p>
        </w:tc>
        <w:tc>
          <w:tcPr>
            <w:tcW w:w="1816"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市发展改革委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continue"/>
            <w:shd w:val="clear" w:color="000000" w:fill="FFFFFF"/>
            <w:vAlign w:val="center"/>
          </w:tcPr>
          <w:p>
            <w:pPr>
              <w:adjustRightInd w:val="0"/>
              <w:snapToGrid w:val="0"/>
              <w:jc w:val="center"/>
              <w:rPr>
                <w:rFonts w:cs="Times New Roman"/>
                <w:color w:val="000000"/>
                <w:kern w:val="0"/>
              </w:rPr>
            </w:pPr>
          </w:p>
        </w:tc>
        <w:tc>
          <w:tcPr>
            <w:tcW w:w="1259"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淘汰燃煤机组</w:t>
            </w:r>
          </w:p>
        </w:tc>
        <w:tc>
          <w:tcPr>
            <w:tcW w:w="1664"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淘汰关停燃煤机组5台9.2万千瓦。</w:t>
            </w:r>
          </w:p>
        </w:tc>
        <w:tc>
          <w:tcPr>
            <w:tcW w:w="1816"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市发展改革委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restart"/>
            <w:shd w:val="clear" w:color="000000" w:fill="FFFFFF"/>
            <w:vAlign w:val="center"/>
          </w:tcPr>
          <w:p>
            <w:pPr>
              <w:adjustRightInd w:val="0"/>
              <w:snapToGrid w:val="0"/>
              <w:jc w:val="center"/>
              <w:rPr>
                <w:rFonts w:cs="Times New Roman"/>
                <w:color w:val="000000"/>
                <w:kern w:val="0"/>
              </w:rPr>
            </w:pPr>
            <w:r>
              <w:rPr>
                <w:rFonts w:cs="Times New Roman"/>
                <w:color w:val="000000"/>
                <w:kern w:val="0"/>
              </w:rPr>
              <w:t>锅炉综合整治</w:t>
            </w:r>
          </w:p>
        </w:tc>
        <w:tc>
          <w:tcPr>
            <w:tcW w:w="1259"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淘汰燃煤锅炉</w:t>
            </w:r>
          </w:p>
        </w:tc>
        <w:tc>
          <w:tcPr>
            <w:tcW w:w="1664"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2021年10月底前</w:t>
            </w:r>
          </w:p>
        </w:tc>
        <w:tc>
          <w:tcPr>
            <w:tcW w:w="8045"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淘汰燃煤锅炉</w:t>
            </w:r>
            <w:r>
              <w:rPr>
                <w:rFonts w:hint="eastAsia" w:cs="Times New Roman"/>
                <w:color w:val="000000"/>
                <w:kern w:val="0"/>
                <w:lang w:val="en-US" w:eastAsia="zh-CN"/>
              </w:rPr>
              <w:t>6</w:t>
            </w:r>
            <w:r>
              <w:rPr>
                <w:rFonts w:cs="Times New Roman"/>
                <w:color w:val="000000"/>
                <w:kern w:val="0"/>
              </w:rPr>
              <w:t>台</w:t>
            </w:r>
            <w:r>
              <w:rPr>
                <w:rFonts w:hint="eastAsia" w:cs="Times New Roman"/>
                <w:color w:val="000000"/>
                <w:kern w:val="0"/>
                <w:lang w:val="en-US" w:eastAsia="zh-CN"/>
              </w:rPr>
              <w:t>210</w:t>
            </w:r>
            <w:r>
              <w:rPr>
                <w:rFonts w:cs="Times New Roman"/>
                <w:color w:val="000000"/>
                <w:kern w:val="0"/>
              </w:rPr>
              <w:t>蒸吨。除确需保留的</w:t>
            </w:r>
            <w:r>
              <w:rPr>
                <w:rFonts w:hint="eastAsia" w:cs="Times New Roman"/>
                <w:color w:val="000000"/>
                <w:kern w:val="0"/>
                <w:lang w:val="en-US" w:eastAsia="zh-CN"/>
              </w:rPr>
              <w:t>5</w:t>
            </w:r>
            <w:r>
              <w:rPr>
                <w:rFonts w:cs="Times New Roman"/>
                <w:color w:val="000000"/>
                <w:kern w:val="0"/>
              </w:rPr>
              <w:t>台共</w:t>
            </w:r>
            <w:r>
              <w:rPr>
                <w:rFonts w:hint="eastAsia" w:cs="Times New Roman"/>
                <w:color w:val="000000"/>
                <w:kern w:val="0"/>
                <w:lang w:val="en-US" w:eastAsia="zh-CN"/>
              </w:rPr>
              <w:t>175</w:t>
            </w:r>
            <w:r>
              <w:rPr>
                <w:rFonts w:cs="Times New Roman"/>
                <w:color w:val="000000"/>
                <w:kern w:val="0"/>
              </w:rPr>
              <w:t>蒸吨锅炉外，全市范围内全面淘汰35蒸吨以下燃煤锅炉。</w:t>
            </w:r>
          </w:p>
        </w:tc>
        <w:tc>
          <w:tcPr>
            <w:tcW w:w="1816"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continue"/>
            <w:shd w:val="clear" w:color="auto" w:fill="auto"/>
            <w:vAlign w:val="center"/>
          </w:tcPr>
          <w:p>
            <w:pPr>
              <w:adjustRightInd w:val="0"/>
              <w:snapToGrid w:val="0"/>
              <w:jc w:val="left"/>
              <w:rPr>
                <w:rFonts w:cs="Times New Roman"/>
                <w:color w:val="000000"/>
                <w:kern w:val="0"/>
              </w:rPr>
            </w:pPr>
          </w:p>
        </w:tc>
        <w:tc>
          <w:tcPr>
            <w:tcW w:w="1259"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燃气锅炉低氮改造</w:t>
            </w:r>
          </w:p>
        </w:tc>
        <w:tc>
          <w:tcPr>
            <w:tcW w:w="1664"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完成燃气锅炉低氮改造19台32.99蒸吨。</w:t>
            </w:r>
          </w:p>
        </w:tc>
        <w:tc>
          <w:tcPr>
            <w:tcW w:w="1816"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restart"/>
            <w:shd w:val="clear" w:color="auto" w:fill="auto"/>
            <w:vAlign w:val="center"/>
          </w:tcPr>
          <w:p>
            <w:pPr>
              <w:adjustRightInd w:val="0"/>
              <w:snapToGrid w:val="0"/>
              <w:jc w:val="center"/>
              <w:rPr>
                <w:rFonts w:cs="Times New Roman"/>
                <w:color w:val="000000"/>
                <w:kern w:val="0"/>
              </w:rPr>
            </w:pPr>
            <w:r>
              <w:rPr>
                <w:rFonts w:cs="Times New Roman"/>
                <w:color w:val="000000"/>
                <w:kern w:val="0"/>
              </w:rPr>
              <w:t>运输结构调整</w:t>
            </w:r>
          </w:p>
          <w:p>
            <w:pPr>
              <w:adjustRightInd w:val="0"/>
              <w:snapToGrid w:val="0"/>
              <w:jc w:val="center"/>
              <w:rPr>
                <w:rFonts w:cs="Times New Roman"/>
                <w:color w:val="000000"/>
                <w:kern w:val="0"/>
              </w:rPr>
            </w:pPr>
          </w:p>
        </w:tc>
        <w:tc>
          <w:tcPr>
            <w:tcW w:w="907" w:type="dxa"/>
            <w:vMerge w:val="restart"/>
            <w:shd w:val="clear" w:color="auto" w:fill="auto"/>
            <w:vAlign w:val="center"/>
          </w:tcPr>
          <w:p>
            <w:pPr>
              <w:adjustRightInd w:val="0"/>
              <w:snapToGrid w:val="0"/>
              <w:jc w:val="center"/>
              <w:rPr>
                <w:rFonts w:cs="Times New Roman"/>
                <w:color w:val="000000"/>
                <w:kern w:val="0"/>
              </w:rPr>
            </w:pPr>
            <w:r>
              <w:rPr>
                <w:rFonts w:cs="Times New Roman"/>
                <w:color w:val="000000"/>
                <w:kern w:val="0"/>
              </w:rPr>
              <w:t>运输结构调整</w:t>
            </w:r>
          </w:p>
        </w:tc>
        <w:tc>
          <w:tcPr>
            <w:tcW w:w="1259" w:type="dxa"/>
            <w:shd w:val="clear" w:color="000000" w:fill="FFFFFF"/>
            <w:vAlign w:val="center"/>
          </w:tcPr>
          <w:p>
            <w:pPr>
              <w:adjustRightInd w:val="0"/>
              <w:snapToGrid w:val="0"/>
              <w:jc w:val="center"/>
              <w:rPr>
                <w:rFonts w:cs="Times New Roman"/>
                <w:color w:val="FF0000"/>
                <w:kern w:val="0"/>
              </w:rPr>
            </w:pPr>
            <w:r>
              <w:rPr>
                <w:rFonts w:cs="Times New Roman"/>
                <w:kern w:val="0"/>
              </w:rPr>
              <w:t>其他行业原材料、产成品清洁运输</w:t>
            </w:r>
          </w:p>
        </w:tc>
        <w:tc>
          <w:tcPr>
            <w:tcW w:w="1664" w:type="dxa"/>
            <w:shd w:val="clear" w:color="000000" w:fill="FFFFFF"/>
            <w:vAlign w:val="center"/>
          </w:tcPr>
          <w:p>
            <w:pPr>
              <w:adjustRightInd w:val="0"/>
              <w:snapToGrid w:val="0"/>
              <w:jc w:val="center"/>
              <w:rPr>
                <w:rFonts w:cs="Times New Roman"/>
                <w:color w:val="FF0000"/>
                <w:kern w:val="0"/>
              </w:rPr>
            </w:pPr>
            <w:r>
              <w:rPr>
                <w:rFonts w:cs="Times New Roman"/>
                <w:kern w:val="0"/>
              </w:rPr>
              <w:t>2021年10月底前</w:t>
            </w:r>
          </w:p>
        </w:tc>
        <w:tc>
          <w:tcPr>
            <w:tcW w:w="8045" w:type="dxa"/>
            <w:shd w:val="clear" w:color="000000" w:fill="FFFFFF"/>
            <w:vAlign w:val="center"/>
          </w:tcPr>
          <w:p>
            <w:pPr>
              <w:adjustRightInd w:val="0"/>
              <w:snapToGrid w:val="0"/>
              <w:jc w:val="left"/>
              <w:rPr>
                <w:rFonts w:cs="Times New Roman"/>
                <w:color w:val="FF0000"/>
                <w:kern w:val="0"/>
              </w:rPr>
            </w:pPr>
            <w:r>
              <w:rPr>
                <w:rFonts w:cs="Times New Roman"/>
                <w:kern w:val="0"/>
              </w:rPr>
              <w:t>中铝山东有限公司铝土矿铁路运输占比由60%提升至90%。</w:t>
            </w:r>
          </w:p>
        </w:tc>
        <w:tc>
          <w:tcPr>
            <w:tcW w:w="1816" w:type="dxa"/>
            <w:shd w:val="clear" w:color="000000" w:fill="FFFFFF"/>
            <w:vAlign w:val="center"/>
          </w:tcPr>
          <w:p>
            <w:pPr>
              <w:adjustRightInd w:val="0"/>
              <w:snapToGrid w:val="0"/>
              <w:jc w:val="left"/>
              <w:rPr>
                <w:rFonts w:cs="Times New Roman"/>
                <w:kern w:val="0"/>
              </w:rPr>
            </w:pPr>
            <w:r>
              <w:rPr>
                <w:rFonts w:hint="eastAsia" w:cs="Times New Roman"/>
                <w:kern w:val="0"/>
              </w:rPr>
              <w:t>经开区管委会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center"/>
              <w:rPr>
                <w:rFonts w:cs="Times New Roman"/>
                <w:color w:val="000000"/>
                <w:kern w:val="0"/>
              </w:rPr>
            </w:pPr>
          </w:p>
        </w:tc>
        <w:tc>
          <w:tcPr>
            <w:tcW w:w="907" w:type="dxa"/>
            <w:vMerge w:val="continue"/>
            <w:shd w:val="clear" w:color="auto" w:fill="auto"/>
            <w:vAlign w:val="center"/>
          </w:tcPr>
          <w:p>
            <w:pPr>
              <w:adjustRightInd w:val="0"/>
              <w:snapToGrid w:val="0"/>
              <w:jc w:val="center"/>
              <w:rPr>
                <w:rFonts w:cs="Times New Roman"/>
                <w:color w:val="000000"/>
                <w:kern w:val="0"/>
              </w:rPr>
            </w:pPr>
          </w:p>
        </w:tc>
        <w:tc>
          <w:tcPr>
            <w:tcW w:w="1259" w:type="dxa"/>
            <w:shd w:val="clear" w:color="000000" w:fill="FFFFFF"/>
            <w:vAlign w:val="center"/>
          </w:tcPr>
          <w:p>
            <w:pPr>
              <w:adjustRightInd w:val="0"/>
              <w:snapToGrid w:val="0"/>
              <w:jc w:val="center"/>
              <w:rPr>
                <w:rFonts w:cs="Times New Roman"/>
                <w:kern w:val="0"/>
              </w:rPr>
            </w:pPr>
            <w:r>
              <w:rPr>
                <w:rFonts w:cs="Times New Roman"/>
                <w:kern w:val="0"/>
              </w:rPr>
              <w:t>钢铁企业原材料、产成品清洁运输</w:t>
            </w:r>
          </w:p>
        </w:tc>
        <w:tc>
          <w:tcPr>
            <w:tcW w:w="1664" w:type="dxa"/>
            <w:shd w:val="clear" w:color="000000" w:fill="FFFFFF"/>
            <w:vAlign w:val="center"/>
          </w:tcPr>
          <w:p>
            <w:pPr>
              <w:adjustRightInd w:val="0"/>
              <w:snapToGrid w:val="0"/>
              <w:jc w:val="center"/>
              <w:rPr>
                <w:rFonts w:cs="Times New Roman"/>
                <w:kern w:val="0"/>
              </w:rPr>
            </w:pPr>
            <w:r>
              <w:rPr>
                <w:rFonts w:cs="Times New Roman"/>
                <w:kern w:val="0"/>
              </w:rPr>
              <w:t>2021年12月底前</w:t>
            </w:r>
          </w:p>
        </w:tc>
        <w:tc>
          <w:tcPr>
            <w:tcW w:w="8045" w:type="dxa"/>
            <w:shd w:val="clear" w:color="000000" w:fill="FFFFFF"/>
            <w:vAlign w:val="center"/>
          </w:tcPr>
          <w:p>
            <w:pPr>
              <w:adjustRightInd w:val="0"/>
              <w:snapToGrid w:val="0"/>
              <w:jc w:val="left"/>
              <w:rPr>
                <w:rFonts w:cs="Times New Roman"/>
                <w:kern w:val="0"/>
              </w:rPr>
            </w:pPr>
            <w:r>
              <w:rPr>
                <w:rFonts w:hint="eastAsia" w:cs="Times New Roman"/>
                <w:kern w:val="0"/>
              </w:rPr>
              <w:t>铁鹰钢铁</w:t>
            </w:r>
            <w:r>
              <w:rPr>
                <w:rFonts w:cs="Times New Roman"/>
                <w:kern w:val="0"/>
              </w:rPr>
              <w:t>清洁运输（铁路、水路、管道、新能源或国六货车）比例达到60%。</w:t>
            </w:r>
          </w:p>
        </w:tc>
        <w:tc>
          <w:tcPr>
            <w:tcW w:w="1816" w:type="dxa"/>
            <w:shd w:val="clear" w:color="000000" w:fill="FFFFFF"/>
            <w:vAlign w:val="center"/>
          </w:tcPr>
          <w:p>
            <w:pPr>
              <w:adjustRightInd w:val="0"/>
              <w:snapToGrid w:val="0"/>
              <w:jc w:val="left"/>
              <w:rPr>
                <w:rFonts w:cs="Times New Roman"/>
                <w:kern w:val="0"/>
              </w:rPr>
            </w:pPr>
            <w:r>
              <w:rPr>
                <w:rFonts w:hint="eastAsia" w:cs="Times New Roman"/>
                <w:color w:val="000000"/>
                <w:kern w:val="0"/>
              </w:rPr>
              <w:t>高新区管委会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continue"/>
            <w:shd w:val="clear" w:color="auto" w:fill="auto"/>
            <w:vAlign w:val="center"/>
          </w:tcPr>
          <w:p>
            <w:pPr>
              <w:adjustRightInd w:val="0"/>
              <w:snapToGrid w:val="0"/>
              <w:jc w:val="left"/>
              <w:rPr>
                <w:rFonts w:cs="Times New Roman"/>
                <w:color w:val="000000"/>
                <w:kern w:val="0"/>
              </w:rPr>
            </w:pPr>
          </w:p>
        </w:tc>
        <w:tc>
          <w:tcPr>
            <w:tcW w:w="1259" w:type="dxa"/>
            <w:vMerge w:val="restart"/>
            <w:shd w:val="clear" w:color="000000" w:fill="FFFFFF"/>
            <w:vAlign w:val="center"/>
          </w:tcPr>
          <w:p>
            <w:pPr>
              <w:adjustRightInd w:val="0"/>
              <w:snapToGrid w:val="0"/>
              <w:jc w:val="center"/>
              <w:rPr>
                <w:rFonts w:cs="Times New Roman"/>
                <w:color w:val="FF0000"/>
                <w:kern w:val="0"/>
              </w:rPr>
            </w:pPr>
            <w:r>
              <w:rPr>
                <w:rFonts w:cs="Times New Roman"/>
                <w:color w:val="000000"/>
                <w:kern w:val="0"/>
              </w:rPr>
              <w:t>老旧车淘汰</w:t>
            </w:r>
          </w:p>
        </w:tc>
        <w:tc>
          <w:tcPr>
            <w:tcW w:w="1664" w:type="dxa"/>
            <w:shd w:val="clear" w:color="000000" w:fill="FFFFFF"/>
            <w:vAlign w:val="center"/>
          </w:tcPr>
          <w:p>
            <w:pPr>
              <w:adjustRightInd w:val="0"/>
              <w:snapToGrid w:val="0"/>
              <w:jc w:val="center"/>
              <w:rPr>
                <w:rFonts w:cs="Times New Roman"/>
                <w:color w:val="FF0000"/>
                <w:kern w:val="0"/>
              </w:rPr>
            </w:pPr>
            <w:r>
              <w:rPr>
                <w:rFonts w:cs="Times New Roman"/>
                <w:color w:val="000000"/>
                <w:kern w:val="0"/>
              </w:rPr>
              <w:t>2021年12月底前</w:t>
            </w:r>
          </w:p>
        </w:tc>
        <w:tc>
          <w:tcPr>
            <w:tcW w:w="8045" w:type="dxa"/>
            <w:shd w:val="clear" w:color="000000" w:fill="FFFFFF"/>
            <w:vAlign w:val="center"/>
          </w:tcPr>
          <w:p>
            <w:pPr>
              <w:adjustRightInd w:val="0"/>
              <w:snapToGrid w:val="0"/>
              <w:jc w:val="left"/>
              <w:rPr>
                <w:rFonts w:cs="Times New Roman"/>
                <w:color w:val="FF0000"/>
                <w:kern w:val="0"/>
              </w:rPr>
            </w:pPr>
            <w:r>
              <w:rPr>
                <w:rFonts w:cs="Times New Roman"/>
                <w:color w:val="000000"/>
                <w:kern w:val="0"/>
              </w:rPr>
              <w:t>2021年新增、更新公交车中新能源公交车占比达到100%；主城区内新能源公交车占比达到100%；新能源或清洁能源出租车占比达到100%。2021年积极推进新能源渣土车环卫车更新工作，待市级补贴政策出台后，进一步完善推广方案。</w:t>
            </w:r>
          </w:p>
        </w:tc>
        <w:tc>
          <w:tcPr>
            <w:tcW w:w="1816" w:type="dxa"/>
            <w:shd w:val="clear" w:color="000000" w:fill="FFFFFF"/>
            <w:vAlign w:val="center"/>
          </w:tcPr>
          <w:p>
            <w:pPr>
              <w:pStyle w:val="23"/>
              <w:adjustRightInd w:val="0"/>
              <w:snapToGrid w:val="0"/>
              <w:spacing w:line="240" w:lineRule="auto"/>
              <w:ind w:firstLine="0"/>
              <w:rPr>
                <w:rFonts w:ascii="Times New Roman" w:hAnsi="Times New Roman" w:cs="Times New Roman"/>
                <w:color w:val="000000"/>
                <w:kern w:val="0"/>
              </w:rPr>
            </w:pPr>
            <w:r>
              <w:rPr>
                <w:rFonts w:ascii="Times New Roman" w:hAnsi="Times New Roman" w:cs="Times New Roman"/>
                <w:color w:val="000000"/>
                <w:kern w:val="0"/>
                <w:sz w:val="21"/>
                <w:szCs w:val="21"/>
                <w:lang w:val="en-US" w:eastAsia="zh-CN" w:bidi="ar-SA"/>
              </w:rPr>
              <w:t>市交通运输局、市城市管理局、 市公安局、市机关事务管理局、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center"/>
              <w:rPr>
                <w:rFonts w:cs="Times New Roman"/>
                <w:color w:val="000000"/>
                <w:kern w:val="0"/>
              </w:rPr>
            </w:pPr>
          </w:p>
        </w:tc>
        <w:tc>
          <w:tcPr>
            <w:tcW w:w="907" w:type="dxa"/>
            <w:vMerge w:val="continue"/>
            <w:shd w:val="clear" w:color="auto" w:fill="auto"/>
            <w:vAlign w:val="center"/>
          </w:tcPr>
          <w:p>
            <w:pPr>
              <w:adjustRightInd w:val="0"/>
              <w:snapToGrid w:val="0"/>
              <w:jc w:val="left"/>
              <w:rPr>
                <w:rFonts w:cs="Times New Roman"/>
                <w:color w:val="000000"/>
                <w:kern w:val="0"/>
              </w:rPr>
            </w:pPr>
          </w:p>
        </w:tc>
        <w:tc>
          <w:tcPr>
            <w:tcW w:w="1259" w:type="dxa"/>
            <w:vMerge w:val="continue"/>
            <w:shd w:val="clear" w:color="000000" w:fill="FFFFFF"/>
            <w:vAlign w:val="center"/>
          </w:tcPr>
          <w:p>
            <w:pPr>
              <w:adjustRightInd w:val="0"/>
              <w:snapToGrid w:val="0"/>
              <w:jc w:val="center"/>
              <w:rPr>
                <w:rFonts w:cs="Times New Roman"/>
                <w:color w:val="000000"/>
                <w:kern w:val="0"/>
              </w:rPr>
            </w:pPr>
          </w:p>
        </w:tc>
        <w:tc>
          <w:tcPr>
            <w:tcW w:w="1664"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2021年10月底前</w:t>
            </w:r>
          </w:p>
        </w:tc>
        <w:tc>
          <w:tcPr>
            <w:tcW w:w="8045"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10月底前，完成省下达的国三柴油货车淘汰任务（淘汰剩余2573辆）。</w:t>
            </w:r>
          </w:p>
        </w:tc>
        <w:tc>
          <w:tcPr>
            <w:tcW w:w="1816" w:type="dxa"/>
            <w:shd w:val="clear" w:color="000000" w:fill="FFFFFF"/>
            <w:vAlign w:val="center"/>
          </w:tcPr>
          <w:p>
            <w:pPr>
              <w:adjustRightInd w:val="0"/>
              <w:snapToGrid w:val="0"/>
              <w:jc w:val="left"/>
              <w:rPr>
                <w:rFonts w:cs="Times New Roman"/>
                <w:color w:val="000000"/>
                <w:kern w:val="0"/>
              </w:rPr>
            </w:pPr>
            <w:r>
              <w:rPr>
                <w:rFonts w:cs="Times New Roman"/>
                <w:color w:val="000000"/>
                <w:kern w:val="0"/>
              </w:rPr>
              <w:t>市交通运输局、市公安局</w:t>
            </w:r>
            <w:r>
              <w:rPr>
                <w:rFonts w:hint="eastAsia" w:cs="Times New Roman"/>
                <w:color w:val="000000"/>
                <w:kern w:val="0"/>
              </w:rPr>
              <w:t>、</w:t>
            </w:r>
            <w:r>
              <w:rPr>
                <w:rFonts w:cs="Times New Roman"/>
                <w:color w:val="000000"/>
                <w:kern w:val="0"/>
                <w:szCs w:val="21"/>
              </w:rPr>
              <w:t>市商务局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restart"/>
            <w:shd w:val="clear" w:color="auto" w:fill="auto"/>
            <w:vAlign w:val="center"/>
          </w:tcPr>
          <w:p>
            <w:pPr>
              <w:adjustRightInd w:val="0"/>
              <w:snapToGrid w:val="0"/>
              <w:jc w:val="center"/>
              <w:rPr>
                <w:rFonts w:cs="Times New Roman"/>
                <w:color w:val="000000"/>
                <w:kern w:val="0"/>
              </w:rPr>
            </w:pPr>
            <w:r>
              <w:rPr>
                <w:rFonts w:cs="Times New Roman"/>
                <w:color w:val="000000"/>
                <w:kern w:val="0"/>
              </w:rPr>
              <w:t>车船燃油品质</w:t>
            </w:r>
          </w:p>
          <w:p>
            <w:pPr>
              <w:adjustRightInd w:val="0"/>
              <w:snapToGrid w:val="0"/>
              <w:jc w:val="center"/>
              <w:rPr>
                <w:rFonts w:cs="Times New Roman"/>
                <w:color w:val="000000"/>
                <w:kern w:val="0"/>
              </w:rPr>
            </w:pPr>
            <w:r>
              <w:rPr>
                <w:rFonts w:cs="Times New Roman"/>
                <w:color w:val="000000"/>
                <w:kern w:val="0"/>
              </w:rPr>
              <w:t>改善</w:t>
            </w:r>
          </w:p>
        </w:tc>
        <w:tc>
          <w:tcPr>
            <w:tcW w:w="1259"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打击黑加油站点</w:t>
            </w:r>
          </w:p>
        </w:tc>
        <w:tc>
          <w:tcPr>
            <w:tcW w:w="1664"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shd w:val="clear" w:color="000000" w:fill="FFFFFF"/>
            <w:vAlign w:val="center"/>
          </w:tcPr>
          <w:p>
            <w:pPr>
              <w:adjustRightInd w:val="0"/>
              <w:snapToGrid w:val="0"/>
              <w:jc w:val="left"/>
              <w:rPr>
                <w:rFonts w:cs="Times New Roman"/>
                <w:color w:val="000000"/>
                <w:kern w:val="0"/>
              </w:rPr>
            </w:pPr>
            <w:r>
              <w:rPr>
                <w:rFonts w:cs="Times New Roman"/>
                <w:color w:val="000000"/>
              </w:rPr>
              <w:t>组织开展打击黑加油站点（车）专项行动，严厉查处成品油</w:t>
            </w:r>
            <w:r>
              <w:rPr>
                <w:rFonts w:hint="eastAsia" w:cs="Times New Roman"/>
                <w:color w:val="000000"/>
              </w:rPr>
              <w:t>“</w:t>
            </w:r>
            <w:r>
              <w:rPr>
                <w:rFonts w:cs="Times New Roman"/>
                <w:color w:val="000000"/>
              </w:rPr>
              <w:t>自流黑</w:t>
            </w:r>
            <w:r>
              <w:rPr>
                <w:rFonts w:hint="eastAsia" w:cs="Times New Roman"/>
                <w:color w:val="000000"/>
              </w:rPr>
              <w:t>”</w:t>
            </w:r>
            <w:r>
              <w:rPr>
                <w:rFonts w:cs="Times New Roman"/>
                <w:color w:val="000000"/>
              </w:rPr>
              <w:t>违法行为。</w:t>
            </w:r>
          </w:p>
        </w:tc>
        <w:tc>
          <w:tcPr>
            <w:tcW w:w="1816" w:type="dxa"/>
            <w:shd w:val="clear" w:color="000000" w:fill="FFFFFF"/>
            <w:vAlign w:val="center"/>
          </w:tcPr>
          <w:p>
            <w:pPr>
              <w:adjustRightInd w:val="0"/>
              <w:snapToGrid w:val="0"/>
              <w:jc w:val="left"/>
              <w:rPr>
                <w:rFonts w:cs="Times New Roman"/>
                <w:color w:val="000000"/>
              </w:rPr>
            </w:pPr>
            <w:r>
              <w:rPr>
                <w:rFonts w:hint="eastAsia"/>
                <w:color w:val="000000"/>
                <w:szCs w:val="21"/>
              </w:rPr>
              <w:t>市商务局、</w:t>
            </w:r>
            <w:r>
              <w:rPr>
                <w:rFonts w:hint="eastAsia" w:cs="Times New Roman"/>
                <w:color w:val="000000"/>
                <w:kern w:val="0"/>
                <w:lang w:eastAsia="zh-CN"/>
              </w:rPr>
              <w:t>市市场监管局</w:t>
            </w:r>
            <w:r>
              <w:rPr>
                <w:rFonts w:hint="eastAsia" w:cs="Times New Roman"/>
                <w:color w:val="000000"/>
                <w:kern w:val="0"/>
              </w:rPr>
              <w:t>、</w:t>
            </w:r>
            <w:r>
              <w:rPr>
                <w:rFonts w:hint="eastAsia"/>
                <w:color w:val="000000"/>
                <w:szCs w:val="21"/>
              </w:rPr>
              <w:t>市交通运输局、市公安局、市应急局、市生态环境局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continue"/>
            <w:shd w:val="clear" w:color="auto" w:fill="auto"/>
            <w:vAlign w:val="center"/>
          </w:tcPr>
          <w:p>
            <w:pPr>
              <w:adjustRightInd w:val="0"/>
              <w:snapToGrid w:val="0"/>
              <w:jc w:val="left"/>
              <w:rPr>
                <w:rFonts w:cs="Times New Roman"/>
                <w:color w:val="000000"/>
                <w:kern w:val="0"/>
              </w:rPr>
            </w:pPr>
          </w:p>
        </w:tc>
        <w:tc>
          <w:tcPr>
            <w:tcW w:w="1259"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油品和尿素质量抽查</w:t>
            </w:r>
          </w:p>
        </w:tc>
        <w:tc>
          <w:tcPr>
            <w:tcW w:w="1664" w:type="dxa"/>
            <w:shd w:val="clear" w:color="000000" w:fill="FFFFFF"/>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shd w:val="clear" w:color="000000" w:fill="FFFFFF"/>
            <w:vAlign w:val="center"/>
          </w:tcPr>
          <w:p>
            <w:pPr>
              <w:adjustRightInd w:val="0"/>
              <w:snapToGrid w:val="0"/>
              <w:jc w:val="left"/>
              <w:rPr>
                <w:rFonts w:cs="Times New Roman"/>
                <w:color w:val="000000"/>
                <w:kern w:val="0"/>
              </w:rPr>
            </w:pPr>
            <w:r>
              <w:rPr>
                <w:rFonts w:cs="Times New Roman"/>
                <w:color w:val="000000"/>
              </w:rPr>
              <w:t>在全市加油站（点）抽检车用汽柴油800批次以上，实现年度全覆盖；从高速公路、国道、省道沿线加油站抽检尿素80批次以上。</w:t>
            </w:r>
          </w:p>
        </w:tc>
        <w:tc>
          <w:tcPr>
            <w:tcW w:w="1816" w:type="dxa"/>
            <w:shd w:val="clear" w:color="000000" w:fill="FFFFFF"/>
            <w:vAlign w:val="center"/>
          </w:tcPr>
          <w:p>
            <w:pPr>
              <w:adjustRightInd w:val="0"/>
              <w:snapToGrid w:val="0"/>
              <w:jc w:val="left"/>
              <w:rPr>
                <w:rFonts w:hint="eastAsia" w:eastAsia="宋体" w:cs="Times New Roman"/>
                <w:color w:val="000000"/>
                <w:lang w:eastAsia="zh-CN"/>
              </w:rPr>
            </w:pPr>
            <w:r>
              <w:rPr>
                <w:rFonts w:hint="eastAsia" w:cs="Times New Roman"/>
                <w:color w:val="000000"/>
                <w:kern w:val="0"/>
                <w:lang w:eastAsia="zh-CN"/>
              </w:rPr>
              <w:t>市市场监管局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restart"/>
            <w:shd w:val="clear" w:color="auto" w:fill="auto"/>
            <w:vAlign w:val="center"/>
          </w:tcPr>
          <w:p>
            <w:pPr>
              <w:adjustRightInd w:val="0"/>
              <w:snapToGrid w:val="0"/>
              <w:jc w:val="center"/>
              <w:rPr>
                <w:rFonts w:cs="Times New Roman"/>
                <w:color w:val="000000"/>
                <w:kern w:val="0"/>
              </w:rPr>
            </w:pPr>
            <w:r>
              <w:rPr>
                <w:rFonts w:cs="Times New Roman"/>
                <w:color w:val="000000"/>
                <w:kern w:val="0"/>
              </w:rPr>
              <w:t>在用车环境管理</w:t>
            </w:r>
          </w:p>
        </w:tc>
        <w:tc>
          <w:tcPr>
            <w:tcW w:w="1259" w:type="dxa"/>
            <w:vMerge w:val="restart"/>
            <w:shd w:val="clear" w:color="000000" w:fill="FFFFFF"/>
            <w:vAlign w:val="center"/>
          </w:tcPr>
          <w:p>
            <w:pPr>
              <w:adjustRightInd w:val="0"/>
              <w:snapToGrid w:val="0"/>
              <w:jc w:val="center"/>
              <w:rPr>
                <w:rFonts w:cs="Times New Roman"/>
                <w:kern w:val="0"/>
              </w:rPr>
            </w:pPr>
            <w:r>
              <w:rPr>
                <w:rFonts w:cs="Times New Roman"/>
                <w:kern w:val="0"/>
              </w:rPr>
              <w:t>在用车执法监管</w:t>
            </w:r>
          </w:p>
        </w:tc>
        <w:tc>
          <w:tcPr>
            <w:tcW w:w="1664" w:type="dxa"/>
            <w:shd w:val="clear" w:color="000000" w:fill="FFFFFF"/>
            <w:vAlign w:val="center"/>
          </w:tcPr>
          <w:p>
            <w:pPr>
              <w:adjustRightInd w:val="0"/>
              <w:snapToGrid w:val="0"/>
              <w:jc w:val="center"/>
              <w:rPr>
                <w:rFonts w:cs="Times New Roman"/>
                <w:kern w:val="0"/>
              </w:rPr>
            </w:pPr>
            <w:r>
              <w:rPr>
                <w:rFonts w:cs="Times New Roman"/>
                <w:kern w:val="0"/>
              </w:rPr>
              <w:t>2021年12月底前</w:t>
            </w:r>
          </w:p>
        </w:tc>
        <w:tc>
          <w:tcPr>
            <w:tcW w:w="8045" w:type="dxa"/>
            <w:shd w:val="clear" w:color="000000" w:fill="FFFFFF"/>
            <w:vAlign w:val="center"/>
          </w:tcPr>
          <w:p>
            <w:pPr>
              <w:adjustRightInd w:val="0"/>
              <w:snapToGrid w:val="0"/>
              <w:jc w:val="left"/>
              <w:rPr>
                <w:rFonts w:cs="Times New Roman"/>
                <w:kern w:val="0"/>
              </w:rPr>
            </w:pPr>
            <w:r>
              <w:rPr>
                <w:rFonts w:cs="Times New Roman"/>
                <w:kern w:val="0"/>
              </w:rPr>
              <w:t>查验300辆重型国五及国六燃气车后处置装置情况。</w:t>
            </w:r>
          </w:p>
        </w:tc>
        <w:tc>
          <w:tcPr>
            <w:tcW w:w="1816" w:type="dxa"/>
            <w:shd w:val="clear" w:color="000000" w:fill="FFFFFF"/>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continue"/>
            <w:shd w:val="clear" w:color="auto" w:fill="auto"/>
            <w:vAlign w:val="center"/>
          </w:tcPr>
          <w:p>
            <w:pPr>
              <w:adjustRightInd w:val="0"/>
              <w:snapToGrid w:val="0"/>
              <w:jc w:val="left"/>
              <w:rPr>
                <w:rFonts w:cs="Times New Roman"/>
                <w:color w:val="000000"/>
                <w:kern w:val="0"/>
              </w:rPr>
            </w:pPr>
          </w:p>
        </w:tc>
        <w:tc>
          <w:tcPr>
            <w:tcW w:w="1259" w:type="dxa"/>
            <w:vMerge w:val="continue"/>
            <w:shd w:val="clear" w:color="000000" w:fill="FFFFFF"/>
            <w:vAlign w:val="center"/>
          </w:tcPr>
          <w:p>
            <w:pPr>
              <w:adjustRightInd w:val="0"/>
              <w:snapToGrid w:val="0"/>
              <w:jc w:val="center"/>
              <w:rPr>
                <w:rFonts w:cs="Times New Roman"/>
                <w:kern w:val="0"/>
              </w:rPr>
            </w:pPr>
          </w:p>
        </w:tc>
        <w:tc>
          <w:tcPr>
            <w:tcW w:w="1664" w:type="dxa"/>
            <w:shd w:val="clear" w:color="000000" w:fill="FFFFFF"/>
            <w:vAlign w:val="center"/>
          </w:tcPr>
          <w:p>
            <w:pPr>
              <w:adjustRightInd w:val="0"/>
              <w:snapToGrid w:val="0"/>
              <w:jc w:val="center"/>
              <w:rPr>
                <w:rFonts w:cs="Times New Roman"/>
                <w:kern w:val="0"/>
              </w:rPr>
            </w:pPr>
            <w:r>
              <w:rPr>
                <w:rFonts w:cs="Times New Roman"/>
                <w:kern w:val="0"/>
              </w:rPr>
              <w:t>2021年12月底前</w:t>
            </w:r>
          </w:p>
        </w:tc>
        <w:tc>
          <w:tcPr>
            <w:tcW w:w="8045" w:type="dxa"/>
            <w:shd w:val="clear" w:color="000000" w:fill="FFFFFF"/>
            <w:vAlign w:val="center"/>
          </w:tcPr>
          <w:p>
            <w:pPr>
              <w:adjustRightInd w:val="0"/>
              <w:snapToGrid w:val="0"/>
              <w:jc w:val="left"/>
              <w:rPr>
                <w:rFonts w:cs="Times New Roman"/>
                <w:kern w:val="0"/>
              </w:rPr>
            </w:pPr>
            <w:r>
              <w:rPr>
                <w:rFonts w:cs="Times New Roman"/>
                <w:kern w:val="0"/>
              </w:rPr>
              <w:t>检查排放检验机构410个次，实现排放检验机构监管全覆盖。</w:t>
            </w:r>
          </w:p>
        </w:tc>
        <w:tc>
          <w:tcPr>
            <w:tcW w:w="1816" w:type="dxa"/>
            <w:shd w:val="clear" w:color="000000" w:fill="FFFFFF"/>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continue"/>
            <w:shd w:val="clear" w:color="auto" w:fill="auto"/>
            <w:vAlign w:val="center"/>
          </w:tcPr>
          <w:p>
            <w:pPr>
              <w:adjustRightInd w:val="0"/>
              <w:snapToGrid w:val="0"/>
              <w:jc w:val="left"/>
              <w:rPr>
                <w:rFonts w:cs="Times New Roman"/>
                <w:color w:val="000000"/>
                <w:kern w:val="0"/>
              </w:rPr>
            </w:pPr>
          </w:p>
        </w:tc>
        <w:tc>
          <w:tcPr>
            <w:tcW w:w="1259" w:type="dxa"/>
            <w:vMerge w:val="continue"/>
            <w:shd w:val="clear" w:color="000000" w:fill="FFFFFF"/>
            <w:vAlign w:val="center"/>
          </w:tcPr>
          <w:p>
            <w:pPr>
              <w:adjustRightInd w:val="0"/>
              <w:snapToGrid w:val="0"/>
              <w:jc w:val="center"/>
              <w:rPr>
                <w:rFonts w:cs="Times New Roman"/>
                <w:kern w:val="0"/>
              </w:rPr>
            </w:pPr>
          </w:p>
        </w:tc>
        <w:tc>
          <w:tcPr>
            <w:tcW w:w="1664" w:type="dxa"/>
            <w:shd w:val="clear" w:color="000000" w:fill="FFFFFF"/>
            <w:vAlign w:val="center"/>
          </w:tcPr>
          <w:p>
            <w:pPr>
              <w:adjustRightInd w:val="0"/>
              <w:snapToGrid w:val="0"/>
              <w:jc w:val="center"/>
              <w:rPr>
                <w:rFonts w:cs="Times New Roman"/>
                <w:kern w:val="0"/>
              </w:rPr>
            </w:pPr>
            <w:r>
              <w:rPr>
                <w:rFonts w:cs="Times New Roman"/>
                <w:kern w:val="0"/>
              </w:rPr>
              <w:t>2021年12月底前</w:t>
            </w:r>
          </w:p>
        </w:tc>
        <w:tc>
          <w:tcPr>
            <w:tcW w:w="8045" w:type="dxa"/>
            <w:shd w:val="clear" w:color="000000" w:fill="FFFFFF"/>
            <w:vAlign w:val="center"/>
          </w:tcPr>
          <w:p>
            <w:pPr>
              <w:adjustRightInd w:val="0"/>
              <w:snapToGrid w:val="0"/>
              <w:jc w:val="left"/>
              <w:rPr>
                <w:rFonts w:cs="Times New Roman"/>
                <w:kern w:val="0"/>
              </w:rPr>
            </w:pPr>
            <w:r>
              <w:rPr>
                <w:rFonts w:cs="Times New Roman"/>
                <w:kern w:val="0"/>
              </w:rPr>
              <w:t>对117家重点用车企业安装门禁系统，累计安装117家。</w:t>
            </w:r>
          </w:p>
        </w:tc>
        <w:tc>
          <w:tcPr>
            <w:tcW w:w="1816" w:type="dxa"/>
            <w:shd w:val="clear" w:color="000000" w:fill="FFFFFF"/>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continue"/>
            <w:shd w:val="clear" w:color="auto" w:fill="auto"/>
            <w:vAlign w:val="center"/>
          </w:tcPr>
          <w:p>
            <w:pPr>
              <w:adjustRightInd w:val="0"/>
              <w:snapToGrid w:val="0"/>
              <w:jc w:val="center"/>
              <w:rPr>
                <w:rFonts w:cs="Times New Roman"/>
                <w:color w:val="000000"/>
                <w:kern w:val="0"/>
              </w:rPr>
            </w:pPr>
          </w:p>
        </w:tc>
        <w:tc>
          <w:tcPr>
            <w:tcW w:w="1259" w:type="dxa"/>
            <w:vMerge w:val="continue"/>
            <w:shd w:val="clear" w:color="000000" w:fill="FFFFFF"/>
            <w:vAlign w:val="center"/>
          </w:tcPr>
          <w:p>
            <w:pPr>
              <w:adjustRightInd w:val="0"/>
              <w:snapToGrid w:val="0"/>
              <w:jc w:val="center"/>
              <w:rPr>
                <w:rFonts w:cs="Times New Roman"/>
                <w:kern w:val="0"/>
              </w:rPr>
            </w:pPr>
          </w:p>
        </w:tc>
        <w:tc>
          <w:tcPr>
            <w:tcW w:w="1664" w:type="dxa"/>
            <w:shd w:val="clear" w:color="000000" w:fill="FFFFFF"/>
            <w:vAlign w:val="center"/>
          </w:tcPr>
          <w:p>
            <w:pPr>
              <w:adjustRightInd w:val="0"/>
              <w:snapToGrid w:val="0"/>
              <w:jc w:val="center"/>
              <w:rPr>
                <w:rFonts w:cs="Times New Roman"/>
                <w:kern w:val="0"/>
              </w:rPr>
            </w:pPr>
            <w:r>
              <w:rPr>
                <w:rFonts w:cs="Times New Roman"/>
                <w:kern w:val="0"/>
              </w:rPr>
              <w:t>2021年12月底前</w:t>
            </w:r>
          </w:p>
        </w:tc>
        <w:tc>
          <w:tcPr>
            <w:tcW w:w="8045" w:type="dxa"/>
            <w:shd w:val="clear" w:color="000000" w:fill="FFFFFF"/>
            <w:vAlign w:val="center"/>
          </w:tcPr>
          <w:p>
            <w:pPr>
              <w:adjustRightInd w:val="0"/>
              <w:snapToGrid w:val="0"/>
              <w:jc w:val="left"/>
              <w:rPr>
                <w:rFonts w:cs="Times New Roman"/>
                <w:kern w:val="0"/>
              </w:rPr>
            </w:pPr>
            <w:r>
              <w:rPr>
                <w:rFonts w:cs="Times New Roman"/>
                <w:kern w:val="0"/>
              </w:rPr>
              <w:t>安装3000套重型柴油车车载诊断系统在线监控设备。</w:t>
            </w:r>
          </w:p>
        </w:tc>
        <w:tc>
          <w:tcPr>
            <w:tcW w:w="1816" w:type="dxa"/>
            <w:shd w:val="clear" w:color="000000" w:fill="FFFFFF"/>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restart"/>
            <w:shd w:val="clear" w:color="auto" w:fill="auto"/>
            <w:vAlign w:val="center"/>
          </w:tcPr>
          <w:p>
            <w:pPr>
              <w:adjustRightInd w:val="0"/>
              <w:snapToGrid w:val="0"/>
              <w:jc w:val="center"/>
              <w:rPr>
                <w:rFonts w:cs="Times New Roman"/>
                <w:color w:val="000000"/>
                <w:kern w:val="0"/>
              </w:rPr>
            </w:pPr>
            <w:r>
              <w:rPr>
                <w:rFonts w:cs="Times New Roman"/>
                <w:color w:val="000000"/>
                <w:kern w:val="0"/>
              </w:rPr>
              <w:t>非道路移动机械环境管理</w:t>
            </w:r>
          </w:p>
        </w:tc>
        <w:tc>
          <w:tcPr>
            <w:tcW w:w="1259" w:type="dxa"/>
            <w:shd w:val="clear" w:color="000000" w:fill="FFFFFF"/>
            <w:vAlign w:val="center"/>
          </w:tcPr>
          <w:p>
            <w:pPr>
              <w:adjustRightInd w:val="0"/>
              <w:snapToGrid w:val="0"/>
              <w:jc w:val="center"/>
              <w:rPr>
                <w:rFonts w:cs="Times New Roman"/>
                <w:kern w:val="0"/>
              </w:rPr>
            </w:pPr>
            <w:r>
              <w:rPr>
                <w:rFonts w:cs="Times New Roman"/>
                <w:kern w:val="0"/>
              </w:rPr>
              <w:t>排放检验</w:t>
            </w:r>
          </w:p>
        </w:tc>
        <w:tc>
          <w:tcPr>
            <w:tcW w:w="1664" w:type="dxa"/>
            <w:shd w:val="clear" w:color="000000" w:fill="FFFFFF"/>
            <w:vAlign w:val="center"/>
          </w:tcPr>
          <w:p>
            <w:pPr>
              <w:adjustRightInd w:val="0"/>
              <w:snapToGrid w:val="0"/>
              <w:jc w:val="center"/>
              <w:rPr>
                <w:rFonts w:cs="Times New Roman"/>
                <w:kern w:val="0"/>
              </w:rPr>
            </w:pPr>
            <w:r>
              <w:rPr>
                <w:rFonts w:cs="Times New Roman"/>
                <w:kern w:val="0"/>
              </w:rPr>
              <w:t>2021年12月底前</w:t>
            </w:r>
          </w:p>
        </w:tc>
        <w:tc>
          <w:tcPr>
            <w:tcW w:w="8045" w:type="dxa"/>
            <w:shd w:val="clear" w:color="000000" w:fill="FFFFFF"/>
            <w:vAlign w:val="center"/>
          </w:tcPr>
          <w:p>
            <w:pPr>
              <w:adjustRightInd w:val="0"/>
              <w:snapToGrid w:val="0"/>
              <w:jc w:val="left"/>
              <w:rPr>
                <w:rFonts w:cs="Times New Roman"/>
                <w:kern w:val="0"/>
              </w:rPr>
            </w:pPr>
            <w:r>
              <w:rPr>
                <w:rFonts w:cs="Times New Roman"/>
                <w:kern w:val="0"/>
              </w:rPr>
              <w:t>开展非道路移动机械检测3050辆以上，做到施工工地、铁路货场、物流园区、高排放控制区等重点场所全覆盖。</w:t>
            </w:r>
          </w:p>
        </w:tc>
        <w:tc>
          <w:tcPr>
            <w:tcW w:w="1816" w:type="dxa"/>
            <w:shd w:val="clear" w:color="000000" w:fill="FFFFFF"/>
            <w:vAlign w:val="center"/>
          </w:tcPr>
          <w:p>
            <w:pPr>
              <w:adjustRightInd w:val="0"/>
              <w:snapToGrid w:val="0"/>
              <w:jc w:val="left"/>
              <w:rPr>
                <w:rFonts w:cs="Times New Roman"/>
                <w:kern w:val="0"/>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shd w:val="clear" w:color="auto" w:fill="auto"/>
            <w:vAlign w:val="center"/>
          </w:tcPr>
          <w:p>
            <w:pPr>
              <w:adjustRightInd w:val="0"/>
              <w:snapToGrid w:val="0"/>
              <w:jc w:val="left"/>
              <w:rPr>
                <w:rFonts w:cs="Times New Roman"/>
                <w:color w:val="000000"/>
                <w:kern w:val="0"/>
              </w:rPr>
            </w:pPr>
          </w:p>
        </w:tc>
        <w:tc>
          <w:tcPr>
            <w:tcW w:w="907" w:type="dxa"/>
            <w:vMerge w:val="continue"/>
            <w:shd w:val="clear" w:color="auto" w:fill="auto"/>
            <w:vAlign w:val="center"/>
          </w:tcPr>
          <w:p>
            <w:pPr>
              <w:adjustRightInd w:val="0"/>
              <w:snapToGrid w:val="0"/>
              <w:jc w:val="center"/>
              <w:rPr>
                <w:rFonts w:cs="Times New Roman"/>
                <w:color w:val="000000"/>
                <w:kern w:val="0"/>
              </w:rPr>
            </w:pPr>
          </w:p>
        </w:tc>
        <w:tc>
          <w:tcPr>
            <w:tcW w:w="1259" w:type="dxa"/>
            <w:shd w:val="clear" w:color="000000" w:fill="FFFFFF"/>
            <w:vAlign w:val="center"/>
          </w:tcPr>
          <w:p>
            <w:pPr>
              <w:adjustRightInd w:val="0"/>
              <w:snapToGrid w:val="0"/>
              <w:jc w:val="center"/>
              <w:rPr>
                <w:rFonts w:cs="Times New Roman"/>
                <w:kern w:val="0"/>
              </w:rPr>
            </w:pPr>
            <w:r>
              <w:rPr>
                <w:rFonts w:cs="Times New Roman"/>
                <w:kern w:val="0"/>
              </w:rPr>
              <w:t>强化管控</w:t>
            </w:r>
          </w:p>
        </w:tc>
        <w:tc>
          <w:tcPr>
            <w:tcW w:w="1664" w:type="dxa"/>
            <w:shd w:val="clear" w:color="000000" w:fill="FFFFFF"/>
            <w:vAlign w:val="center"/>
          </w:tcPr>
          <w:p>
            <w:pPr>
              <w:adjustRightInd w:val="0"/>
              <w:snapToGrid w:val="0"/>
              <w:jc w:val="center"/>
              <w:rPr>
                <w:rFonts w:cs="Times New Roman"/>
                <w:kern w:val="0"/>
              </w:rPr>
            </w:pPr>
            <w:r>
              <w:rPr>
                <w:rFonts w:cs="Times New Roman"/>
                <w:kern w:val="0"/>
              </w:rPr>
              <w:t>2021年12月底前</w:t>
            </w:r>
          </w:p>
        </w:tc>
        <w:tc>
          <w:tcPr>
            <w:tcW w:w="8045" w:type="dxa"/>
            <w:shd w:val="clear" w:color="000000" w:fill="FFFFFF"/>
            <w:vAlign w:val="center"/>
          </w:tcPr>
          <w:p>
            <w:pPr>
              <w:widowControl/>
              <w:jc w:val="left"/>
              <w:textAlignment w:val="center"/>
              <w:rPr>
                <w:rFonts w:cs="Times New Roman"/>
              </w:rPr>
            </w:pPr>
            <w:r>
              <w:rPr>
                <w:rFonts w:cs="Times New Roman"/>
                <w:kern w:val="0"/>
                <w:lang w:bidi="ar"/>
              </w:rPr>
              <w:t>安装5000套非道路移动机械实时定位系统。</w:t>
            </w:r>
          </w:p>
        </w:tc>
        <w:tc>
          <w:tcPr>
            <w:tcW w:w="1816" w:type="dxa"/>
            <w:shd w:val="clear" w:color="000000" w:fill="FFFFFF"/>
            <w:vAlign w:val="center"/>
          </w:tcPr>
          <w:p>
            <w:pPr>
              <w:adjustRightInd w:val="0"/>
              <w:snapToGrid w:val="0"/>
              <w:jc w:val="left"/>
              <w:rPr>
                <w:rFonts w:cs="Times New Roman"/>
                <w:kern w:val="0"/>
                <w:lang w:bidi="ar"/>
              </w:rPr>
            </w:pPr>
            <w:r>
              <w:rPr>
                <w:rFonts w:cs="Times New Roman"/>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restart"/>
            <w:vAlign w:val="center"/>
          </w:tcPr>
          <w:p>
            <w:pPr>
              <w:adjustRightInd w:val="0"/>
              <w:snapToGrid w:val="0"/>
              <w:jc w:val="center"/>
              <w:rPr>
                <w:rFonts w:cs="Times New Roman"/>
                <w:color w:val="000000"/>
                <w:kern w:val="0"/>
              </w:rPr>
            </w:pPr>
            <w:r>
              <w:rPr>
                <w:rFonts w:cs="Times New Roman"/>
                <w:color w:val="000000"/>
                <w:kern w:val="0"/>
              </w:rPr>
              <w:t>用地结构调整</w:t>
            </w:r>
          </w:p>
        </w:tc>
        <w:tc>
          <w:tcPr>
            <w:tcW w:w="907" w:type="dxa"/>
            <w:vMerge w:val="restart"/>
            <w:vAlign w:val="center"/>
          </w:tcPr>
          <w:p>
            <w:pPr>
              <w:adjustRightInd w:val="0"/>
              <w:snapToGrid w:val="0"/>
              <w:jc w:val="center"/>
              <w:rPr>
                <w:rFonts w:cs="Times New Roman"/>
                <w:color w:val="000000"/>
                <w:kern w:val="0"/>
              </w:rPr>
            </w:pPr>
            <w:r>
              <w:rPr>
                <w:rFonts w:cs="Times New Roman"/>
                <w:color w:val="000000"/>
                <w:kern w:val="0"/>
              </w:rPr>
              <w:t>扬尘综合整治</w:t>
            </w:r>
          </w:p>
        </w:tc>
        <w:tc>
          <w:tcPr>
            <w:tcW w:w="1259" w:type="dxa"/>
            <w:vAlign w:val="center"/>
          </w:tcPr>
          <w:p>
            <w:pPr>
              <w:adjustRightInd w:val="0"/>
              <w:snapToGrid w:val="0"/>
              <w:jc w:val="center"/>
              <w:rPr>
                <w:rFonts w:cs="Times New Roman"/>
                <w:color w:val="000000"/>
                <w:kern w:val="0"/>
              </w:rPr>
            </w:pPr>
            <w:r>
              <w:rPr>
                <w:rFonts w:cs="Times New Roman"/>
                <w:color w:val="000000"/>
                <w:kern w:val="0"/>
              </w:rPr>
              <w:t>道路扬尘综合整治</w:t>
            </w:r>
          </w:p>
        </w:tc>
        <w:tc>
          <w:tcPr>
            <w:tcW w:w="1664" w:type="dxa"/>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vAlign w:val="center"/>
          </w:tcPr>
          <w:p>
            <w:pPr>
              <w:adjustRightInd w:val="0"/>
              <w:snapToGrid w:val="0"/>
              <w:rPr>
                <w:rFonts w:cs="Times New Roman"/>
                <w:color w:val="000000"/>
                <w:kern w:val="0"/>
              </w:rPr>
            </w:pPr>
            <w:r>
              <w:rPr>
                <w:rFonts w:cs="Times New Roman"/>
                <w:color w:val="000000"/>
                <w:kern w:val="0"/>
              </w:rPr>
              <w:t>国、省道机械化作业比例达到90%。</w:t>
            </w:r>
            <w:r>
              <w:rPr>
                <w:rFonts w:cs="Times New Roman"/>
                <w:color w:val="000000"/>
              </w:rPr>
              <w:t>城市道路扬尘治理方面:1.城市道路扬尘。城区主次干道机动车道推行</w:t>
            </w:r>
            <w:r>
              <w:rPr>
                <w:rFonts w:hint="eastAsia" w:cs="Times New Roman"/>
                <w:color w:val="000000"/>
              </w:rPr>
              <w:t>“</w:t>
            </w:r>
            <w:r>
              <w:rPr>
                <w:rFonts w:cs="Times New Roman"/>
                <w:color w:val="000000"/>
              </w:rPr>
              <w:t>1洗、2扫、2洒水</w:t>
            </w:r>
            <w:r>
              <w:rPr>
                <w:rFonts w:hint="eastAsia" w:cs="Times New Roman"/>
                <w:color w:val="000000"/>
              </w:rPr>
              <w:t>”</w:t>
            </w:r>
            <w:r>
              <w:rPr>
                <w:rFonts w:cs="Times New Roman"/>
                <w:color w:val="000000"/>
              </w:rPr>
              <w:t>作业模式。建立智慧环卫平台，每月对各环卫作业企业的洗扫、冲洗洒水频次落实情况进行抽查，抽查结果纳入城市精细化管理考评重点工作。目前，全市有207条道路通过省住建厅深度保洁示范路验收，占全市城区主次干道总数的82.47%，预计2021年底前，验收通过率达100%。</w:t>
            </w:r>
          </w:p>
        </w:tc>
        <w:tc>
          <w:tcPr>
            <w:tcW w:w="1816" w:type="dxa"/>
            <w:vAlign w:val="center"/>
          </w:tcPr>
          <w:p>
            <w:pPr>
              <w:adjustRightInd w:val="0"/>
              <w:snapToGrid w:val="0"/>
              <w:rPr>
                <w:rFonts w:cs="Times New Roman"/>
                <w:color w:val="000000"/>
                <w:kern w:val="0"/>
              </w:rPr>
            </w:pPr>
            <w:r>
              <w:rPr>
                <w:rFonts w:cs="Times New Roman"/>
                <w:color w:val="000000"/>
                <w:kern w:val="0"/>
              </w:rPr>
              <w:t>市交通运输局、市城市管理局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vAlign w:val="center"/>
          </w:tcPr>
          <w:p>
            <w:pPr>
              <w:adjustRightInd w:val="0"/>
              <w:snapToGrid w:val="0"/>
              <w:jc w:val="left"/>
              <w:rPr>
                <w:rFonts w:cs="Times New Roman"/>
                <w:color w:val="000000"/>
                <w:kern w:val="0"/>
              </w:rPr>
            </w:pPr>
          </w:p>
        </w:tc>
        <w:tc>
          <w:tcPr>
            <w:tcW w:w="907" w:type="dxa"/>
            <w:vMerge w:val="continue"/>
            <w:vAlign w:val="center"/>
          </w:tcPr>
          <w:p>
            <w:pPr>
              <w:adjustRightInd w:val="0"/>
              <w:snapToGrid w:val="0"/>
              <w:jc w:val="left"/>
              <w:rPr>
                <w:rFonts w:cs="Times New Roman"/>
                <w:color w:val="000000"/>
                <w:kern w:val="0"/>
              </w:rPr>
            </w:pPr>
          </w:p>
        </w:tc>
        <w:tc>
          <w:tcPr>
            <w:tcW w:w="1259" w:type="dxa"/>
            <w:vAlign w:val="center"/>
          </w:tcPr>
          <w:p>
            <w:pPr>
              <w:adjustRightInd w:val="0"/>
              <w:snapToGrid w:val="0"/>
              <w:jc w:val="center"/>
              <w:rPr>
                <w:rFonts w:cs="Times New Roman"/>
                <w:color w:val="000000"/>
                <w:kern w:val="0"/>
              </w:rPr>
            </w:pPr>
            <w:r>
              <w:rPr>
                <w:rFonts w:cs="Times New Roman"/>
                <w:color w:val="000000"/>
                <w:kern w:val="0"/>
              </w:rPr>
              <w:t>强化降尘量控制</w:t>
            </w:r>
          </w:p>
        </w:tc>
        <w:tc>
          <w:tcPr>
            <w:tcW w:w="1664" w:type="dxa"/>
            <w:vAlign w:val="center"/>
          </w:tcPr>
          <w:p>
            <w:pPr>
              <w:adjustRightInd w:val="0"/>
              <w:snapToGrid w:val="0"/>
              <w:jc w:val="center"/>
              <w:rPr>
                <w:rFonts w:cs="Times New Roman"/>
                <w:color w:val="000000"/>
                <w:kern w:val="0"/>
              </w:rPr>
            </w:pPr>
            <w:r>
              <w:rPr>
                <w:rFonts w:cs="Times New Roman"/>
                <w:color w:val="000000"/>
                <w:kern w:val="0"/>
              </w:rPr>
              <w:t>长期坚持</w:t>
            </w:r>
          </w:p>
        </w:tc>
        <w:tc>
          <w:tcPr>
            <w:tcW w:w="8045" w:type="dxa"/>
            <w:vAlign w:val="center"/>
          </w:tcPr>
          <w:p>
            <w:pPr>
              <w:adjustRightInd w:val="0"/>
              <w:snapToGrid w:val="0"/>
              <w:rPr>
                <w:rFonts w:cs="Times New Roman"/>
                <w:color w:val="000000"/>
                <w:kern w:val="0"/>
              </w:rPr>
            </w:pPr>
            <w:r>
              <w:rPr>
                <w:rFonts w:cs="Times New Roman"/>
                <w:color w:val="000000"/>
                <w:kern w:val="0"/>
              </w:rPr>
              <w:t>各县（市、区）降尘量不高于7吨/月·平方公里。</w:t>
            </w:r>
          </w:p>
        </w:tc>
        <w:tc>
          <w:tcPr>
            <w:tcW w:w="1816" w:type="dxa"/>
            <w:vAlign w:val="center"/>
          </w:tcPr>
          <w:p>
            <w:pPr>
              <w:adjustRightInd w:val="0"/>
              <w:snapToGrid w:val="0"/>
              <w:rPr>
                <w:rFonts w:cs="Times New Roman"/>
                <w:color w:val="000000"/>
                <w:kern w:val="0"/>
              </w:rPr>
            </w:pPr>
            <w:r>
              <w:rPr>
                <w:rFonts w:cs="Times New Roman"/>
                <w:color w:val="000000"/>
                <w:kern w:val="0"/>
              </w:rPr>
              <w:t>各区县政府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vAlign w:val="center"/>
          </w:tcPr>
          <w:p>
            <w:pPr>
              <w:adjustRightInd w:val="0"/>
              <w:snapToGrid w:val="0"/>
              <w:jc w:val="left"/>
              <w:rPr>
                <w:rFonts w:cs="Times New Roman"/>
                <w:color w:val="000000"/>
                <w:kern w:val="0"/>
              </w:rPr>
            </w:pPr>
          </w:p>
        </w:tc>
        <w:tc>
          <w:tcPr>
            <w:tcW w:w="907" w:type="dxa"/>
            <w:vMerge w:val="restart"/>
            <w:vAlign w:val="center"/>
          </w:tcPr>
          <w:p>
            <w:pPr>
              <w:adjustRightInd w:val="0"/>
              <w:snapToGrid w:val="0"/>
              <w:jc w:val="center"/>
              <w:rPr>
                <w:rFonts w:cs="Times New Roman"/>
                <w:color w:val="000000"/>
                <w:kern w:val="0"/>
              </w:rPr>
            </w:pPr>
            <w:r>
              <w:rPr>
                <w:rFonts w:cs="Times New Roman"/>
                <w:color w:val="000000"/>
                <w:kern w:val="0"/>
              </w:rPr>
              <w:t>秸秆综合利用</w:t>
            </w:r>
          </w:p>
        </w:tc>
        <w:tc>
          <w:tcPr>
            <w:tcW w:w="1259" w:type="dxa"/>
            <w:vAlign w:val="center"/>
          </w:tcPr>
          <w:p>
            <w:pPr>
              <w:adjustRightInd w:val="0"/>
              <w:snapToGrid w:val="0"/>
              <w:jc w:val="center"/>
              <w:rPr>
                <w:rFonts w:cs="Times New Roman"/>
                <w:color w:val="000000"/>
                <w:kern w:val="0"/>
              </w:rPr>
            </w:pPr>
            <w:r>
              <w:rPr>
                <w:rFonts w:cs="Times New Roman"/>
                <w:color w:val="000000"/>
                <w:kern w:val="0"/>
              </w:rPr>
              <w:t>加强农作物秸秆焚烧管控</w:t>
            </w:r>
          </w:p>
        </w:tc>
        <w:tc>
          <w:tcPr>
            <w:tcW w:w="1664" w:type="dxa"/>
            <w:vAlign w:val="center"/>
          </w:tcPr>
          <w:p>
            <w:pPr>
              <w:adjustRightInd w:val="0"/>
              <w:snapToGrid w:val="0"/>
              <w:jc w:val="center"/>
              <w:rPr>
                <w:rFonts w:cs="Times New Roman"/>
                <w:color w:val="000000"/>
                <w:kern w:val="0"/>
              </w:rPr>
            </w:pPr>
            <w:r>
              <w:rPr>
                <w:rFonts w:cs="Times New Roman"/>
                <w:color w:val="000000"/>
                <w:kern w:val="0"/>
              </w:rPr>
              <w:t>2022年3月底前</w:t>
            </w:r>
          </w:p>
        </w:tc>
        <w:tc>
          <w:tcPr>
            <w:tcW w:w="8045" w:type="dxa"/>
            <w:vAlign w:val="center"/>
          </w:tcPr>
          <w:p>
            <w:pPr>
              <w:adjustRightInd w:val="0"/>
              <w:snapToGrid w:val="0"/>
              <w:rPr>
                <w:rFonts w:cs="Times New Roman"/>
                <w:color w:val="000000"/>
                <w:kern w:val="0"/>
              </w:rPr>
            </w:pPr>
            <w:r>
              <w:rPr>
                <w:rFonts w:cs="Times New Roman"/>
                <w:color w:val="000000"/>
                <w:kern w:val="0"/>
              </w:rPr>
              <w:t>2021—2022年秋冬季期间，全面禁止露天焚烧各类农作物秸秆，确保实现全部农作物秸秆全面禁烧。对区县出现2个以上火点、镇（办）1个以上火点的，逐级通报批评，约谈相关政府负责人，从严追究相关人员责任。积极创新农作物秸秆禁烧监管方式方法，依托中国铁塔股份有限公司淄博分公司，通过政府购买服务的方式，建立起了秸秆禁烧智能化监控系统，对火情进行实时监测。开展机防+人防相结合的方式，做到</w:t>
            </w:r>
            <w:r>
              <w:rPr>
                <w:rFonts w:hint="eastAsia" w:cs="Times New Roman"/>
                <w:color w:val="000000"/>
                <w:kern w:val="0"/>
              </w:rPr>
              <w:t>“</w:t>
            </w:r>
            <w:r>
              <w:rPr>
                <w:rFonts w:cs="Times New Roman"/>
                <w:color w:val="000000"/>
                <w:kern w:val="0"/>
              </w:rPr>
              <w:t>第一时间发现火点、第一时间响应、第一时间处置</w:t>
            </w:r>
            <w:r>
              <w:rPr>
                <w:rFonts w:hint="eastAsia" w:cs="Times New Roman"/>
                <w:color w:val="000000"/>
                <w:kern w:val="0"/>
              </w:rPr>
              <w:t>”</w:t>
            </w:r>
            <w:r>
              <w:rPr>
                <w:rFonts w:cs="Times New Roman"/>
                <w:color w:val="000000"/>
                <w:kern w:val="0"/>
              </w:rPr>
              <w:t xml:space="preserve">。 </w:t>
            </w:r>
          </w:p>
        </w:tc>
        <w:tc>
          <w:tcPr>
            <w:tcW w:w="1816" w:type="dxa"/>
            <w:vAlign w:val="center"/>
          </w:tcPr>
          <w:p>
            <w:pPr>
              <w:adjustRightInd w:val="0"/>
              <w:snapToGrid w:val="0"/>
              <w:rPr>
                <w:rFonts w:cs="Times New Roman"/>
                <w:color w:val="000000"/>
                <w:kern w:val="0"/>
              </w:rPr>
            </w:pPr>
            <w:r>
              <w:rPr>
                <w:rFonts w:cs="Times New Roman"/>
                <w:color w:val="000000"/>
                <w:kern w:val="0"/>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vAlign w:val="center"/>
          </w:tcPr>
          <w:p>
            <w:pPr>
              <w:adjustRightInd w:val="0"/>
              <w:snapToGrid w:val="0"/>
              <w:jc w:val="left"/>
              <w:rPr>
                <w:rFonts w:cs="Times New Roman"/>
                <w:color w:val="000000"/>
                <w:kern w:val="0"/>
              </w:rPr>
            </w:pPr>
          </w:p>
        </w:tc>
        <w:tc>
          <w:tcPr>
            <w:tcW w:w="907" w:type="dxa"/>
            <w:vMerge w:val="continue"/>
            <w:vAlign w:val="center"/>
          </w:tcPr>
          <w:p>
            <w:pPr>
              <w:adjustRightInd w:val="0"/>
              <w:snapToGrid w:val="0"/>
              <w:jc w:val="left"/>
              <w:rPr>
                <w:rFonts w:cs="Times New Roman"/>
                <w:color w:val="000000"/>
                <w:kern w:val="0"/>
              </w:rPr>
            </w:pPr>
          </w:p>
        </w:tc>
        <w:tc>
          <w:tcPr>
            <w:tcW w:w="1259" w:type="dxa"/>
            <w:vAlign w:val="center"/>
          </w:tcPr>
          <w:p>
            <w:pPr>
              <w:adjustRightInd w:val="0"/>
              <w:snapToGrid w:val="0"/>
              <w:jc w:val="center"/>
              <w:rPr>
                <w:rFonts w:cs="Times New Roman"/>
                <w:color w:val="000000"/>
                <w:kern w:val="0"/>
              </w:rPr>
            </w:pPr>
            <w:r>
              <w:rPr>
                <w:rFonts w:cs="Times New Roman"/>
                <w:color w:val="000000"/>
                <w:kern w:val="0"/>
              </w:rPr>
              <w:t>加强秸秆综合利用</w:t>
            </w:r>
          </w:p>
        </w:tc>
        <w:tc>
          <w:tcPr>
            <w:tcW w:w="1664" w:type="dxa"/>
            <w:vAlign w:val="center"/>
          </w:tcPr>
          <w:p>
            <w:pPr>
              <w:adjustRightInd w:val="0"/>
              <w:snapToGrid w:val="0"/>
              <w:jc w:val="center"/>
              <w:rPr>
                <w:rFonts w:cs="Times New Roman"/>
                <w:color w:val="000000"/>
                <w:kern w:val="0"/>
              </w:rPr>
            </w:pPr>
            <w:r>
              <w:rPr>
                <w:rFonts w:cs="Times New Roman"/>
                <w:color w:val="000000"/>
                <w:kern w:val="0"/>
              </w:rPr>
              <w:t>2022年3月底前</w:t>
            </w:r>
          </w:p>
        </w:tc>
        <w:tc>
          <w:tcPr>
            <w:tcW w:w="8045" w:type="dxa"/>
            <w:vAlign w:val="center"/>
          </w:tcPr>
          <w:p>
            <w:pPr>
              <w:adjustRightInd w:val="0"/>
              <w:snapToGrid w:val="0"/>
              <w:rPr>
                <w:rFonts w:cs="Times New Roman"/>
                <w:color w:val="000000"/>
                <w:kern w:val="0"/>
              </w:rPr>
            </w:pPr>
            <w:r>
              <w:rPr>
                <w:rFonts w:cs="Times New Roman"/>
                <w:color w:val="000000"/>
                <w:kern w:val="0"/>
              </w:rPr>
              <w:t>按照农作物秸秆肥料化、饲料化、燃料化、基料化、原料化转化利用方式，积极开拓农作物秸秆多元化利用途径，常年主要农作物秸秆转化利用率稳定在93%以上，巩固和深化秸秆粉碎还田、覆盖还田，其中还田利用率达到70%以上。</w:t>
            </w:r>
          </w:p>
        </w:tc>
        <w:tc>
          <w:tcPr>
            <w:tcW w:w="1816" w:type="dxa"/>
            <w:vAlign w:val="center"/>
          </w:tcPr>
          <w:p>
            <w:pPr>
              <w:adjustRightInd w:val="0"/>
              <w:snapToGrid w:val="0"/>
              <w:rPr>
                <w:rFonts w:cs="Times New Roman"/>
                <w:color w:val="000000"/>
                <w:kern w:val="0"/>
              </w:rPr>
            </w:pPr>
            <w:r>
              <w:rPr>
                <w:rFonts w:cs="Times New Roman"/>
                <w:color w:val="000000"/>
                <w:kern w:val="0"/>
              </w:rPr>
              <w:t>市农业农村局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restart"/>
            <w:vAlign w:val="center"/>
          </w:tcPr>
          <w:p>
            <w:pPr>
              <w:adjustRightInd w:val="0"/>
              <w:snapToGrid w:val="0"/>
              <w:jc w:val="center"/>
              <w:rPr>
                <w:rFonts w:cs="Times New Roman"/>
                <w:color w:val="000000"/>
                <w:kern w:val="0"/>
              </w:rPr>
            </w:pPr>
            <w:r>
              <w:rPr>
                <w:rFonts w:cs="Times New Roman"/>
                <w:color w:val="000000"/>
                <w:kern w:val="0"/>
              </w:rPr>
              <w:t>能力建设</w:t>
            </w:r>
          </w:p>
        </w:tc>
        <w:tc>
          <w:tcPr>
            <w:tcW w:w="907" w:type="dxa"/>
            <w:vMerge w:val="restart"/>
            <w:vAlign w:val="center"/>
          </w:tcPr>
          <w:p>
            <w:pPr>
              <w:jc w:val="center"/>
              <w:rPr>
                <w:rFonts w:cs="Times New Roman"/>
                <w:color w:val="000000"/>
                <w:kern w:val="0"/>
              </w:rPr>
            </w:pPr>
            <w:r>
              <w:rPr>
                <w:rFonts w:cs="Times New Roman"/>
                <w:color w:val="000000"/>
                <w:kern w:val="0"/>
              </w:rPr>
              <w:t>完善环境监测监控网络</w:t>
            </w:r>
          </w:p>
        </w:tc>
        <w:tc>
          <w:tcPr>
            <w:tcW w:w="1259" w:type="dxa"/>
            <w:vAlign w:val="center"/>
          </w:tcPr>
          <w:p>
            <w:pPr>
              <w:adjustRightInd w:val="0"/>
              <w:snapToGrid w:val="0"/>
              <w:jc w:val="center"/>
              <w:rPr>
                <w:rFonts w:cs="Times New Roman"/>
                <w:color w:val="000000"/>
                <w:kern w:val="0"/>
              </w:rPr>
            </w:pPr>
            <w:r>
              <w:rPr>
                <w:rFonts w:cs="Times New Roman"/>
                <w:color w:val="000000"/>
                <w:kern w:val="0"/>
              </w:rPr>
              <w:t>环境空气质量监测网络建设</w:t>
            </w:r>
          </w:p>
        </w:tc>
        <w:tc>
          <w:tcPr>
            <w:tcW w:w="1664" w:type="dxa"/>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vAlign w:val="center"/>
          </w:tcPr>
          <w:p>
            <w:pPr>
              <w:adjustRightInd w:val="0"/>
              <w:snapToGrid w:val="0"/>
              <w:rPr>
                <w:rFonts w:cs="Times New Roman"/>
                <w:color w:val="000000"/>
                <w:kern w:val="0"/>
              </w:rPr>
            </w:pPr>
            <w:r>
              <w:rPr>
                <w:rFonts w:cs="Times New Roman"/>
                <w:color w:val="000000"/>
                <w:kern w:val="0"/>
              </w:rPr>
              <w:t>增设环境空气质量自动监测站点5个。购买环境监测无人机4架。</w:t>
            </w:r>
          </w:p>
        </w:tc>
        <w:tc>
          <w:tcPr>
            <w:tcW w:w="1816" w:type="dxa"/>
            <w:vAlign w:val="center"/>
          </w:tcPr>
          <w:p>
            <w:pPr>
              <w:adjustRightInd w:val="0"/>
              <w:snapToGrid w:val="0"/>
              <w:rPr>
                <w:rFonts w:cs="Times New Roman"/>
                <w:color w:val="000000"/>
                <w:kern w:val="0"/>
              </w:rPr>
            </w:pPr>
            <w:r>
              <w:rPr>
                <w:rFonts w:cs="Times New Roman"/>
                <w:color w:val="000000"/>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vAlign w:val="center"/>
          </w:tcPr>
          <w:p>
            <w:pPr>
              <w:adjustRightInd w:val="0"/>
              <w:snapToGrid w:val="0"/>
              <w:jc w:val="left"/>
              <w:rPr>
                <w:rFonts w:cs="Times New Roman"/>
                <w:color w:val="000000"/>
                <w:kern w:val="0"/>
              </w:rPr>
            </w:pPr>
          </w:p>
        </w:tc>
        <w:tc>
          <w:tcPr>
            <w:tcW w:w="907" w:type="dxa"/>
            <w:vMerge w:val="continue"/>
            <w:vAlign w:val="center"/>
          </w:tcPr>
          <w:p>
            <w:pPr>
              <w:adjustRightInd w:val="0"/>
              <w:snapToGrid w:val="0"/>
              <w:jc w:val="left"/>
              <w:rPr>
                <w:rFonts w:cs="Times New Roman"/>
                <w:color w:val="000000"/>
                <w:kern w:val="0"/>
              </w:rPr>
            </w:pPr>
          </w:p>
        </w:tc>
        <w:tc>
          <w:tcPr>
            <w:tcW w:w="1259" w:type="dxa"/>
            <w:vAlign w:val="center"/>
          </w:tcPr>
          <w:p>
            <w:pPr>
              <w:adjustRightInd w:val="0"/>
              <w:snapToGrid w:val="0"/>
              <w:jc w:val="center"/>
              <w:rPr>
                <w:rFonts w:cs="Times New Roman"/>
                <w:color w:val="000000"/>
                <w:kern w:val="0"/>
              </w:rPr>
            </w:pPr>
            <w:r>
              <w:rPr>
                <w:rFonts w:cs="Times New Roman"/>
                <w:color w:val="000000"/>
                <w:kern w:val="0"/>
              </w:rPr>
              <w:t>环境空气VOCs监测</w:t>
            </w:r>
          </w:p>
        </w:tc>
        <w:tc>
          <w:tcPr>
            <w:tcW w:w="1664" w:type="dxa"/>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vAlign w:val="center"/>
          </w:tcPr>
          <w:p>
            <w:pPr>
              <w:adjustRightInd w:val="0"/>
              <w:snapToGrid w:val="0"/>
              <w:rPr>
                <w:rFonts w:cs="Times New Roman"/>
                <w:color w:val="000000"/>
                <w:kern w:val="0"/>
              </w:rPr>
            </w:pPr>
            <w:r>
              <w:rPr>
                <w:rFonts w:cs="Times New Roman"/>
                <w:color w:val="000000"/>
                <w:kern w:val="0"/>
              </w:rPr>
              <w:t>建成环境空气VOCs监测站点5个。</w:t>
            </w:r>
          </w:p>
        </w:tc>
        <w:tc>
          <w:tcPr>
            <w:tcW w:w="1816" w:type="dxa"/>
            <w:vAlign w:val="center"/>
          </w:tcPr>
          <w:p>
            <w:pPr>
              <w:adjustRightInd w:val="0"/>
              <w:snapToGrid w:val="0"/>
              <w:rPr>
                <w:rFonts w:cs="Times New Roman"/>
                <w:color w:val="000000"/>
                <w:kern w:val="0"/>
              </w:rPr>
            </w:pPr>
            <w:r>
              <w:rPr>
                <w:rFonts w:cs="Times New Roman"/>
                <w:color w:val="000000"/>
                <w:kern w:val="0"/>
              </w:rPr>
              <w:t>市生态环境局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428" w:type="dxa"/>
            <w:vMerge w:val="continue"/>
            <w:vAlign w:val="center"/>
          </w:tcPr>
          <w:p>
            <w:pPr>
              <w:adjustRightInd w:val="0"/>
              <w:snapToGrid w:val="0"/>
              <w:jc w:val="left"/>
              <w:rPr>
                <w:rFonts w:cs="Times New Roman"/>
                <w:color w:val="000000"/>
                <w:kern w:val="0"/>
              </w:rPr>
            </w:pPr>
          </w:p>
        </w:tc>
        <w:tc>
          <w:tcPr>
            <w:tcW w:w="907" w:type="dxa"/>
            <w:vAlign w:val="center"/>
          </w:tcPr>
          <w:p>
            <w:pPr>
              <w:adjustRightInd w:val="0"/>
              <w:snapToGrid w:val="0"/>
              <w:jc w:val="center"/>
              <w:rPr>
                <w:rFonts w:cs="Times New Roman"/>
                <w:color w:val="000000"/>
                <w:kern w:val="0"/>
              </w:rPr>
            </w:pPr>
            <w:r>
              <w:rPr>
                <w:rFonts w:cs="Times New Roman"/>
                <w:color w:val="000000"/>
                <w:kern w:val="0"/>
              </w:rPr>
              <w:t>源排放清单编制</w:t>
            </w:r>
          </w:p>
        </w:tc>
        <w:tc>
          <w:tcPr>
            <w:tcW w:w="1259" w:type="dxa"/>
            <w:vAlign w:val="center"/>
          </w:tcPr>
          <w:p>
            <w:pPr>
              <w:adjustRightInd w:val="0"/>
              <w:snapToGrid w:val="0"/>
              <w:jc w:val="center"/>
              <w:rPr>
                <w:rFonts w:cs="Times New Roman"/>
                <w:color w:val="000000"/>
                <w:kern w:val="0"/>
              </w:rPr>
            </w:pPr>
            <w:r>
              <w:rPr>
                <w:rFonts w:cs="Times New Roman"/>
                <w:color w:val="000000"/>
                <w:kern w:val="0"/>
              </w:rPr>
              <w:t>动态更新2020年大气污染源排放清单</w:t>
            </w:r>
          </w:p>
        </w:tc>
        <w:tc>
          <w:tcPr>
            <w:tcW w:w="1664" w:type="dxa"/>
            <w:vAlign w:val="center"/>
          </w:tcPr>
          <w:p>
            <w:pPr>
              <w:adjustRightInd w:val="0"/>
              <w:snapToGrid w:val="0"/>
              <w:jc w:val="center"/>
              <w:rPr>
                <w:rFonts w:cs="Times New Roman"/>
                <w:color w:val="000000"/>
                <w:kern w:val="0"/>
              </w:rPr>
            </w:pPr>
            <w:r>
              <w:rPr>
                <w:rFonts w:cs="Times New Roman"/>
                <w:color w:val="000000"/>
                <w:kern w:val="0"/>
              </w:rPr>
              <w:t>2021年12月底前</w:t>
            </w:r>
          </w:p>
        </w:tc>
        <w:tc>
          <w:tcPr>
            <w:tcW w:w="8045" w:type="dxa"/>
            <w:vAlign w:val="center"/>
          </w:tcPr>
          <w:p>
            <w:pPr>
              <w:adjustRightInd w:val="0"/>
              <w:snapToGrid w:val="0"/>
              <w:rPr>
                <w:rFonts w:cs="Times New Roman"/>
                <w:color w:val="000000"/>
                <w:kern w:val="0"/>
              </w:rPr>
            </w:pPr>
            <w:r>
              <w:rPr>
                <w:rFonts w:cs="Times New Roman"/>
                <w:color w:val="000000"/>
                <w:kern w:val="0"/>
              </w:rPr>
              <w:t>完成2020年大气污染源排放清单编制。</w:t>
            </w:r>
          </w:p>
        </w:tc>
        <w:tc>
          <w:tcPr>
            <w:tcW w:w="1816" w:type="dxa"/>
            <w:vAlign w:val="center"/>
          </w:tcPr>
          <w:p>
            <w:pPr>
              <w:adjustRightInd w:val="0"/>
              <w:snapToGrid w:val="0"/>
              <w:rPr>
                <w:rFonts w:cs="Times New Roman"/>
                <w:color w:val="000000"/>
                <w:kern w:val="0"/>
              </w:rPr>
            </w:pPr>
            <w:r>
              <w:rPr>
                <w:rFonts w:cs="Times New Roman"/>
                <w:color w:val="000000"/>
                <w:kern w:val="0"/>
              </w:rPr>
              <w:t>市生态环境局</w:t>
            </w:r>
          </w:p>
        </w:tc>
      </w:tr>
    </w:tbl>
    <w:p>
      <w:pPr>
        <w:pStyle w:val="22"/>
        <w:autoSpaceDN w:val="0"/>
        <w:adjustRightInd w:val="0"/>
        <w:snapToGrid w:val="0"/>
        <w:jc w:val="center"/>
        <w:rPr>
          <w:rFonts w:eastAsia="方正小标宋_GBK"/>
          <w:kern w:val="2"/>
          <w:sz w:val="44"/>
          <w:szCs w:val="44"/>
        </w:rPr>
      </w:pPr>
    </w:p>
    <w:p>
      <w:pPr>
        <w:rPr>
          <w:rFonts w:hint="default"/>
          <w:lang w:val="en-US" w:eastAsia="zh-CN"/>
        </w:rPr>
      </w:pPr>
    </w:p>
    <w:sectPr>
      <w:footerReference r:id="rId4" w:type="default"/>
      <w:pgSz w:w="16838" w:h="11906" w:orient="landscape"/>
      <w:pgMar w:top="1531" w:right="2041" w:bottom="1474" w:left="1474" w:header="851" w:footer="1134" w:gutter="0"/>
      <w:paperSrc/>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文星标宋">
    <w:altName w:val="宋体"/>
    <w:panose1 w:val="02010604000101010101"/>
    <w:charset w:val="86"/>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PAGE   \* MERGEFORMAT </w:instrText>
    </w:r>
    <w:r>
      <w:rPr>
        <w:rFonts w:hint="eastAsia" w:ascii="宋体" w:hAnsi="宋体" w:cs="宋体"/>
        <w:sz w:val="24"/>
        <w:szCs w:val="24"/>
      </w:rPr>
      <w:fldChar w:fldCharType="separate"/>
    </w:r>
    <w:r>
      <w:rPr>
        <w:rFonts w:ascii="宋体" w:hAnsi="宋体" w:cs="宋体"/>
        <w:sz w:val="24"/>
        <w:szCs w:val="24"/>
      </w:rPr>
      <w:t>- 25 -</w:t>
    </w:r>
    <w:r>
      <w:rPr>
        <w:rFonts w:hint="eastAsia" w:ascii="宋体" w:hAnsi="宋体" w:cs="宋体"/>
        <w:sz w:val="24"/>
        <w:szCs w:val="24"/>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CgF26zFQIAABkEAAAOAAAAAAAAAAEAIAAAADUBAABkcnMvZTJvRG9jLnhtbFBLBQYAAAAABgAG&#10;AFkBAAC8BQAAAAA=&#10;">
              <v:fill on="f" focussize="0,0"/>
              <v:stroke on="f" weight="0.5pt"/>
              <v:imagedata o:title=""/>
              <o:lock v:ext="edit" aspectratio="f"/>
              <v:textbox inset="0mm,0mm,0mm,0mm" style="mso-fit-shape-to-text:t;">
                <w:txbxContent>
                  <w:p>
                    <w:pPr>
                      <w:pStyle w:val="7"/>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- 1 -</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567352"/>
    <w:rsid w:val="005E023A"/>
    <w:rsid w:val="00782395"/>
    <w:rsid w:val="007F3C47"/>
    <w:rsid w:val="00D3467F"/>
    <w:rsid w:val="00D542B3"/>
    <w:rsid w:val="011C3046"/>
    <w:rsid w:val="01854538"/>
    <w:rsid w:val="034E2982"/>
    <w:rsid w:val="03685651"/>
    <w:rsid w:val="03E72304"/>
    <w:rsid w:val="047166C8"/>
    <w:rsid w:val="04D5108F"/>
    <w:rsid w:val="06935A29"/>
    <w:rsid w:val="06FB10A7"/>
    <w:rsid w:val="070D7B65"/>
    <w:rsid w:val="071B0912"/>
    <w:rsid w:val="07EB34D8"/>
    <w:rsid w:val="07F34C58"/>
    <w:rsid w:val="09507E23"/>
    <w:rsid w:val="09911625"/>
    <w:rsid w:val="0ADE5667"/>
    <w:rsid w:val="0B3E47C5"/>
    <w:rsid w:val="0CE356BD"/>
    <w:rsid w:val="0CF93C51"/>
    <w:rsid w:val="0D600911"/>
    <w:rsid w:val="0EC73C81"/>
    <w:rsid w:val="10BF58E9"/>
    <w:rsid w:val="133D010C"/>
    <w:rsid w:val="138543DA"/>
    <w:rsid w:val="14075AB3"/>
    <w:rsid w:val="14EB48DB"/>
    <w:rsid w:val="18754442"/>
    <w:rsid w:val="19526A00"/>
    <w:rsid w:val="1993229E"/>
    <w:rsid w:val="19CC0622"/>
    <w:rsid w:val="1A071800"/>
    <w:rsid w:val="1A446808"/>
    <w:rsid w:val="1B6229BF"/>
    <w:rsid w:val="1B79417F"/>
    <w:rsid w:val="1D735C9C"/>
    <w:rsid w:val="1D7E0CD3"/>
    <w:rsid w:val="1DDA7105"/>
    <w:rsid w:val="1FD0632A"/>
    <w:rsid w:val="1FED062D"/>
    <w:rsid w:val="20027036"/>
    <w:rsid w:val="20A31692"/>
    <w:rsid w:val="215217AA"/>
    <w:rsid w:val="218D0B1E"/>
    <w:rsid w:val="222A7EFA"/>
    <w:rsid w:val="241A70DA"/>
    <w:rsid w:val="24976C8B"/>
    <w:rsid w:val="24AC0F17"/>
    <w:rsid w:val="2508181C"/>
    <w:rsid w:val="253B1DD8"/>
    <w:rsid w:val="253C1DEB"/>
    <w:rsid w:val="268C6E36"/>
    <w:rsid w:val="278C58C2"/>
    <w:rsid w:val="28015AB3"/>
    <w:rsid w:val="2D8E72B5"/>
    <w:rsid w:val="2F826679"/>
    <w:rsid w:val="2FE44739"/>
    <w:rsid w:val="322C3A81"/>
    <w:rsid w:val="327E6821"/>
    <w:rsid w:val="332376D1"/>
    <w:rsid w:val="346E2D4F"/>
    <w:rsid w:val="34B60F77"/>
    <w:rsid w:val="357B58DB"/>
    <w:rsid w:val="35D90C3F"/>
    <w:rsid w:val="361B0222"/>
    <w:rsid w:val="37753A5C"/>
    <w:rsid w:val="379022DA"/>
    <w:rsid w:val="3879430A"/>
    <w:rsid w:val="38A53601"/>
    <w:rsid w:val="38BE4EE3"/>
    <w:rsid w:val="39137DD5"/>
    <w:rsid w:val="392D3B38"/>
    <w:rsid w:val="39E834A9"/>
    <w:rsid w:val="3AD52B1D"/>
    <w:rsid w:val="3B527BC3"/>
    <w:rsid w:val="3B914727"/>
    <w:rsid w:val="3C431F79"/>
    <w:rsid w:val="3CA01558"/>
    <w:rsid w:val="3CDC30C8"/>
    <w:rsid w:val="3DD00B62"/>
    <w:rsid w:val="3DDA4747"/>
    <w:rsid w:val="3E5358BB"/>
    <w:rsid w:val="3E9B468F"/>
    <w:rsid w:val="3F275793"/>
    <w:rsid w:val="3F6549B7"/>
    <w:rsid w:val="3F8469A1"/>
    <w:rsid w:val="40212FEE"/>
    <w:rsid w:val="423E3084"/>
    <w:rsid w:val="43AC0C34"/>
    <w:rsid w:val="43EB6212"/>
    <w:rsid w:val="449C112E"/>
    <w:rsid w:val="45466C46"/>
    <w:rsid w:val="46D41D01"/>
    <w:rsid w:val="46FA0917"/>
    <w:rsid w:val="47F43AB7"/>
    <w:rsid w:val="483E3F82"/>
    <w:rsid w:val="48C5629D"/>
    <w:rsid w:val="48F24CB0"/>
    <w:rsid w:val="4A4F3DEE"/>
    <w:rsid w:val="4D6E3E95"/>
    <w:rsid w:val="4D8D5736"/>
    <w:rsid w:val="4DE878D8"/>
    <w:rsid w:val="4E294940"/>
    <w:rsid w:val="4F1E39F1"/>
    <w:rsid w:val="504759F2"/>
    <w:rsid w:val="505C651C"/>
    <w:rsid w:val="51245FED"/>
    <w:rsid w:val="521240D6"/>
    <w:rsid w:val="52C44774"/>
    <w:rsid w:val="52F82C7B"/>
    <w:rsid w:val="531A4EDC"/>
    <w:rsid w:val="55A50A8F"/>
    <w:rsid w:val="5742257C"/>
    <w:rsid w:val="57BE7792"/>
    <w:rsid w:val="582154F5"/>
    <w:rsid w:val="59001FA3"/>
    <w:rsid w:val="59116488"/>
    <w:rsid w:val="59961D5F"/>
    <w:rsid w:val="59A266A5"/>
    <w:rsid w:val="5A700BB2"/>
    <w:rsid w:val="5C806E95"/>
    <w:rsid w:val="5D815A1F"/>
    <w:rsid w:val="5DD34245"/>
    <w:rsid w:val="5F5D69E4"/>
    <w:rsid w:val="5F7A2651"/>
    <w:rsid w:val="608E0965"/>
    <w:rsid w:val="60A564D4"/>
    <w:rsid w:val="612D41AC"/>
    <w:rsid w:val="61912EDF"/>
    <w:rsid w:val="63622F4B"/>
    <w:rsid w:val="63A65CED"/>
    <w:rsid w:val="6575228D"/>
    <w:rsid w:val="65BE55E5"/>
    <w:rsid w:val="65FB718C"/>
    <w:rsid w:val="674A1CA4"/>
    <w:rsid w:val="67DC708E"/>
    <w:rsid w:val="68235FBF"/>
    <w:rsid w:val="682C4EF9"/>
    <w:rsid w:val="69742B8A"/>
    <w:rsid w:val="6B135004"/>
    <w:rsid w:val="6C8B34D0"/>
    <w:rsid w:val="6D387E6A"/>
    <w:rsid w:val="6EB03DF5"/>
    <w:rsid w:val="6F1E5D0D"/>
    <w:rsid w:val="70BE6245"/>
    <w:rsid w:val="72967E30"/>
    <w:rsid w:val="731D2E63"/>
    <w:rsid w:val="742F589C"/>
    <w:rsid w:val="77FD51CE"/>
    <w:rsid w:val="78626892"/>
    <w:rsid w:val="78AA1E9D"/>
    <w:rsid w:val="795A07D4"/>
    <w:rsid w:val="795F7B74"/>
    <w:rsid w:val="797B49B7"/>
    <w:rsid w:val="7A345A00"/>
    <w:rsid w:val="7A415B2E"/>
    <w:rsid w:val="7CB3358A"/>
    <w:rsid w:val="7E502F2A"/>
    <w:rsid w:val="7F60760B"/>
    <w:rsid w:val="EDF34E10"/>
    <w:rsid w:val="FFFEF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adjustRightInd w:val="0"/>
      <w:snapToGrid w:val="0"/>
      <w:ind w:left="0" w:leftChars="0" w:firstLine="40"/>
      <w:jc w:val="left"/>
    </w:pPr>
    <w:rPr>
      <w:rFonts w:ascii="仿宋_GB2312" w:hAnsi="仿宋_GB2312" w:eastAsia="仿宋" w:cs="仿宋_GB2312"/>
      <w:kern w:val="0"/>
      <w:sz w:val="32"/>
      <w:szCs w:val="32"/>
    </w:rPr>
  </w:style>
  <w:style w:type="paragraph" w:styleId="3">
    <w:name w:val="Body Text Indent"/>
    <w:basedOn w:val="1"/>
    <w:qFormat/>
    <w:uiPriority w:val="0"/>
    <w:pPr>
      <w:spacing w:after="120"/>
      <w:ind w:left="420" w:leftChars="200"/>
    </w:pPr>
  </w:style>
  <w:style w:type="paragraph" w:styleId="6">
    <w:name w:val="Normal Indent"/>
    <w:basedOn w:val="1"/>
    <w:qFormat/>
    <w:uiPriority w:val="0"/>
    <w:pPr>
      <w:ind w:firstLine="420" w:firstLineChars="2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2">
    <w:name w:val="Strong"/>
    <w:basedOn w:val="11"/>
    <w:qFormat/>
    <w:uiPriority w:val="0"/>
    <w:rPr>
      <w:b/>
      <w:bCs/>
    </w:rPr>
  </w:style>
  <w:style w:type="character" w:customStyle="1" w:styleId="13">
    <w:name w:val="font31"/>
    <w:basedOn w:val="11"/>
    <w:qFormat/>
    <w:uiPriority w:val="0"/>
    <w:rPr>
      <w:rFonts w:hint="eastAsia" w:ascii="宋体" w:hAnsi="宋体" w:eastAsia="宋体" w:cs="宋体"/>
      <w:b/>
      <w:color w:val="000000"/>
      <w:sz w:val="22"/>
      <w:szCs w:val="22"/>
      <w:u w:val="none"/>
    </w:rPr>
  </w:style>
  <w:style w:type="character" w:customStyle="1" w:styleId="14">
    <w:name w:val="font21"/>
    <w:basedOn w:val="11"/>
    <w:qFormat/>
    <w:uiPriority w:val="0"/>
    <w:rPr>
      <w:rFonts w:hint="eastAsia" w:ascii="宋体" w:hAnsi="宋体" w:eastAsia="宋体" w:cs="宋体"/>
      <w:b/>
      <w:color w:val="000000"/>
      <w:sz w:val="22"/>
      <w:szCs w:val="22"/>
      <w:u w:val="none"/>
    </w:rPr>
  </w:style>
  <w:style w:type="character" w:customStyle="1" w:styleId="15">
    <w:name w:val="font01"/>
    <w:basedOn w:val="11"/>
    <w:qFormat/>
    <w:uiPriority w:val="0"/>
    <w:rPr>
      <w:rFonts w:hint="eastAsia" w:ascii="宋体" w:hAnsi="宋体" w:eastAsia="宋体" w:cs="宋体"/>
      <w:b/>
      <w:color w:val="FF0000"/>
      <w:sz w:val="22"/>
      <w:szCs w:val="22"/>
      <w:u w:val="none"/>
    </w:rPr>
  </w:style>
  <w:style w:type="paragraph" w:customStyle="1" w:styleId="16">
    <w:name w:val="Default"/>
    <w:unhideWhenUsed/>
    <w:qFormat/>
    <w:uiPriority w:val="99"/>
    <w:pPr>
      <w:widowControl w:val="0"/>
      <w:autoSpaceDE w:val="0"/>
      <w:autoSpaceDN w:val="0"/>
      <w:adjustRightInd w:val="0"/>
    </w:pPr>
    <w:rPr>
      <w:rFonts w:hint="eastAsia" w:ascii="仿宋" w:hAnsi="仿宋" w:eastAsia="仿宋" w:cstheme="minorBidi"/>
      <w:color w:val="000000"/>
      <w:sz w:val="24"/>
      <w:szCs w:val="24"/>
      <w:lang w:val="en-US" w:eastAsia="zh-CN" w:bidi="ar-SA"/>
    </w:rPr>
  </w:style>
  <w:style w:type="paragraph" w:styleId="17">
    <w:name w:val="List Paragraph"/>
    <w:basedOn w:val="1"/>
    <w:qFormat/>
    <w:uiPriority w:val="99"/>
    <w:pPr>
      <w:ind w:firstLine="420" w:firstLineChars="200"/>
    </w:pPr>
  </w:style>
  <w:style w:type="character" w:customStyle="1" w:styleId="18">
    <w:name w:val="font51"/>
    <w:basedOn w:val="11"/>
    <w:qFormat/>
    <w:uiPriority w:val="0"/>
    <w:rPr>
      <w:rFonts w:hint="default" w:ascii="Times New Roman" w:hAnsi="Times New Roman" w:cs="Times New Roman"/>
      <w:b/>
      <w:bCs/>
      <w:color w:val="FF0000"/>
      <w:sz w:val="24"/>
      <w:szCs w:val="24"/>
      <w:u w:val="none"/>
    </w:rPr>
  </w:style>
  <w:style w:type="character" w:customStyle="1" w:styleId="19">
    <w:name w:val="font61"/>
    <w:basedOn w:val="11"/>
    <w:qFormat/>
    <w:uiPriority w:val="0"/>
    <w:rPr>
      <w:rFonts w:hint="default" w:ascii="Times New Roman" w:hAnsi="Times New Roman" w:cs="Times New Roman"/>
      <w:b/>
      <w:bCs/>
      <w:color w:val="FF0000"/>
      <w:sz w:val="24"/>
      <w:szCs w:val="24"/>
      <w:u w:val="none"/>
    </w:rPr>
  </w:style>
  <w:style w:type="character" w:customStyle="1" w:styleId="20">
    <w:name w:val="font11"/>
    <w:basedOn w:val="11"/>
    <w:qFormat/>
    <w:uiPriority w:val="0"/>
    <w:rPr>
      <w:rFonts w:hint="eastAsia" w:ascii="仿宋" w:hAnsi="仿宋" w:eastAsia="仿宋" w:cs="仿宋"/>
      <w:b/>
      <w:bCs/>
      <w:color w:val="000000"/>
      <w:sz w:val="24"/>
      <w:szCs w:val="24"/>
      <w:u w:val="none"/>
    </w:rPr>
  </w:style>
  <w:style w:type="character" w:customStyle="1" w:styleId="21">
    <w:name w:val="font41"/>
    <w:basedOn w:val="11"/>
    <w:qFormat/>
    <w:uiPriority w:val="0"/>
    <w:rPr>
      <w:rFonts w:hint="default" w:ascii="Times New Roman" w:hAnsi="Times New Roman" w:cs="Times New Roman"/>
      <w:color w:val="000000"/>
      <w:sz w:val="20"/>
      <w:szCs w:val="20"/>
      <w:u w:val="none"/>
      <w:vertAlign w:val="subscript"/>
    </w:rPr>
  </w:style>
  <w:style w:type="paragraph" w:customStyle="1" w:styleId="22">
    <w:name w:val="p0"/>
    <w:basedOn w:val="1"/>
    <w:qFormat/>
    <w:uiPriority w:val="99"/>
    <w:pPr>
      <w:widowControl/>
    </w:pPr>
    <w:rPr>
      <w:rFonts w:cs="Times New Roman"/>
      <w:kern w:val="0"/>
      <w:sz w:val="32"/>
      <w:szCs w:val="32"/>
    </w:rPr>
  </w:style>
  <w:style w:type="paragraph" w:customStyle="1" w:styleId="23">
    <w:name w:val="Body text|1"/>
    <w:basedOn w:val="1"/>
    <w:qFormat/>
    <w:uiPriority w:val="0"/>
    <w:pPr>
      <w:spacing w:line="401" w:lineRule="auto"/>
      <w:ind w:firstLine="400"/>
    </w:pPr>
    <w:rPr>
      <w:rFonts w:ascii="宋体" w:hAnsi="宋体" w:cs="宋体"/>
      <w:color w:val="181818"/>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567</Words>
  <Characters>3235</Characters>
  <Lines>26</Lines>
  <Paragraphs>7</Paragraphs>
  <TotalTime>3</TotalTime>
  <ScaleCrop>false</ScaleCrop>
  <LinksUpToDate>false</LinksUpToDate>
  <CharactersWithSpaces>3795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2021-07-13T10:50:00Z</dcterms:created>
  <dc:creator>86178</dc:creator>
  <cp:lastModifiedBy>shixia</cp:lastModifiedBy>
  <cp:lastPrinted>2021-11-12T15:40:00Z</cp:lastPrinted>
  <dcterms:modified xsi:type="dcterms:W3CDTF">2021-11-29T15:24:11Z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C657080AADC24F4281AA46A8ABEB676D</vt:lpwstr>
  </property>
</Properties>
</file>